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1E285">
      <w:pPr>
        <w:pStyle w:val="17"/>
        <w:spacing w:after="0" w:line="500" w:lineRule="exact"/>
        <w:outlineLvl w:val="0"/>
        <w:rPr>
          <w:rFonts w:hint="eastAsia" w:ascii="宋体" w:hAnsi="宋体" w:eastAsia="宋体"/>
          <w:b/>
          <w:sz w:val="44"/>
          <w:szCs w:val="44"/>
          <w:lang w:eastAsia="zh-CN"/>
        </w:rPr>
      </w:pPr>
    </w:p>
    <w:p w14:paraId="747BC5FB">
      <w:pPr>
        <w:pStyle w:val="17"/>
        <w:spacing w:after="0" w:line="500" w:lineRule="exact"/>
        <w:outlineLvl w:val="0"/>
        <w:rPr>
          <w:rFonts w:hint="eastAsia" w:ascii="宋体" w:hAnsi="宋体" w:eastAsia="宋体"/>
          <w:b/>
          <w:sz w:val="44"/>
          <w:szCs w:val="44"/>
          <w:lang w:eastAsia="zh-CN"/>
        </w:rPr>
      </w:pPr>
    </w:p>
    <w:p w14:paraId="4AC68A65">
      <w:pPr>
        <w:pStyle w:val="17"/>
        <w:tabs>
          <w:tab w:val="center" w:pos="4242"/>
          <w:tab w:val="left" w:pos="7260"/>
        </w:tabs>
        <w:spacing w:after="0" w:line="500" w:lineRule="exact"/>
        <w:ind w:left="178" w:leftChars="85"/>
        <w:jc w:val="left"/>
        <w:rPr>
          <w:rFonts w:hint="eastAsia" w:ascii="宋体" w:hAnsi="宋体" w:eastAsia="宋体"/>
          <w:b/>
          <w:sz w:val="44"/>
          <w:szCs w:val="44"/>
          <w:lang w:eastAsia="zh-CN"/>
        </w:rPr>
      </w:pPr>
    </w:p>
    <w:p w14:paraId="3DB80F9F">
      <w:pPr>
        <w:pStyle w:val="17"/>
        <w:spacing w:after="0" w:line="500" w:lineRule="exact"/>
        <w:rPr>
          <w:rFonts w:hint="eastAsia" w:ascii="宋体" w:hAnsi="宋体" w:eastAsia="宋体"/>
          <w:b/>
          <w:sz w:val="44"/>
          <w:szCs w:val="44"/>
          <w:lang w:eastAsia="zh-CN"/>
        </w:rPr>
      </w:pPr>
    </w:p>
    <w:p w14:paraId="593C12D0">
      <w:pPr>
        <w:pStyle w:val="17"/>
        <w:spacing w:after="0" w:line="500" w:lineRule="exact"/>
        <w:outlineLvl w:val="0"/>
        <w:rPr>
          <w:rFonts w:hint="eastAsia" w:ascii="宋体" w:hAnsi="宋体" w:eastAsia="宋体"/>
          <w:b/>
          <w:sz w:val="44"/>
          <w:szCs w:val="44"/>
          <w:lang w:eastAsia="zh-CN"/>
        </w:rPr>
      </w:pPr>
    </w:p>
    <w:p w14:paraId="70AA9D69">
      <w:pPr>
        <w:pStyle w:val="17"/>
        <w:spacing w:after="0" w:line="500" w:lineRule="exact"/>
        <w:outlineLvl w:val="0"/>
        <w:rPr>
          <w:rFonts w:hint="eastAsia" w:ascii="宋体" w:hAnsi="宋体" w:eastAsia="宋体"/>
          <w:b/>
          <w:sz w:val="44"/>
          <w:szCs w:val="44"/>
          <w:lang w:eastAsia="zh-CN"/>
        </w:rPr>
      </w:pPr>
    </w:p>
    <w:p w14:paraId="5C65BBE8">
      <w:pPr>
        <w:pStyle w:val="17"/>
        <w:spacing w:after="0" w:line="500" w:lineRule="exact"/>
        <w:outlineLvl w:val="0"/>
        <w:rPr>
          <w:rFonts w:hint="eastAsia" w:ascii="宋体" w:hAnsi="宋体" w:eastAsia="宋体"/>
          <w:b/>
          <w:sz w:val="44"/>
          <w:szCs w:val="44"/>
          <w:lang w:eastAsia="zh-CN"/>
        </w:rPr>
      </w:pPr>
    </w:p>
    <w:p w14:paraId="45E68960">
      <w:pPr>
        <w:pStyle w:val="17"/>
        <w:spacing w:after="0" w:line="500" w:lineRule="exact"/>
        <w:outlineLvl w:val="0"/>
        <w:rPr>
          <w:rFonts w:hint="eastAsia" w:ascii="宋体" w:hAnsi="宋体" w:eastAsia="宋体"/>
          <w:b/>
          <w:sz w:val="44"/>
          <w:szCs w:val="44"/>
          <w:lang w:eastAsia="zh-CN"/>
        </w:rPr>
      </w:pPr>
      <w:r>
        <w:rPr>
          <w:rFonts w:hint="eastAsia" w:ascii="宋体" w:hAnsi="宋体" w:eastAsia="宋体"/>
          <w:b/>
          <w:sz w:val="44"/>
          <w:szCs w:val="44"/>
          <w:lang w:val="en-US" w:eastAsia="zh-CN"/>
        </w:rPr>
        <w:t>EMC</w:t>
      </w:r>
      <w:r>
        <w:rPr>
          <w:rFonts w:hint="eastAsia" w:ascii="宋体" w:hAnsi="宋体" w:eastAsia="宋体"/>
          <w:b/>
          <w:sz w:val="44"/>
          <w:szCs w:val="44"/>
          <w:lang w:eastAsia="zh-CN"/>
        </w:rPr>
        <w:t>合同能源管理协议</w:t>
      </w:r>
    </w:p>
    <w:p w14:paraId="3830F667">
      <w:pPr>
        <w:pStyle w:val="17"/>
        <w:spacing w:after="0" w:line="500" w:lineRule="exact"/>
        <w:rPr>
          <w:rFonts w:hint="eastAsia" w:ascii="宋体" w:hAnsi="宋体" w:eastAsia="宋体"/>
          <w:b/>
          <w:sz w:val="24"/>
          <w:szCs w:val="24"/>
          <w:lang w:eastAsia="zh-CN"/>
        </w:rPr>
      </w:pPr>
    </w:p>
    <w:p w14:paraId="49698EAE">
      <w:pPr>
        <w:pStyle w:val="17"/>
        <w:spacing w:after="0" w:line="500" w:lineRule="exact"/>
        <w:rPr>
          <w:rFonts w:hint="eastAsia" w:ascii="宋体" w:hAnsi="宋体" w:eastAsia="宋体"/>
          <w:b/>
          <w:sz w:val="24"/>
          <w:szCs w:val="24"/>
          <w:lang w:eastAsia="zh-CN"/>
        </w:rPr>
      </w:pPr>
    </w:p>
    <w:p w14:paraId="71938B11">
      <w:pPr>
        <w:pStyle w:val="17"/>
        <w:spacing w:after="0" w:line="500" w:lineRule="exact"/>
        <w:rPr>
          <w:rFonts w:hint="eastAsia" w:ascii="宋体" w:hAnsi="宋体" w:eastAsia="宋体"/>
          <w:b/>
          <w:sz w:val="24"/>
          <w:szCs w:val="24"/>
          <w:lang w:eastAsia="zh-CN"/>
        </w:rPr>
      </w:pPr>
    </w:p>
    <w:p w14:paraId="0675F9FB">
      <w:pPr>
        <w:pStyle w:val="17"/>
        <w:spacing w:after="0" w:line="500" w:lineRule="exact"/>
        <w:rPr>
          <w:rFonts w:hint="eastAsia" w:ascii="宋体" w:hAnsi="宋体" w:eastAsia="宋体"/>
          <w:b/>
          <w:sz w:val="24"/>
          <w:szCs w:val="24"/>
          <w:lang w:eastAsia="zh-CN"/>
        </w:rPr>
      </w:pPr>
    </w:p>
    <w:p w14:paraId="30E4CDA6">
      <w:pPr>
        <w:pStyle w:val="17"/>
        <w:spacing w:after="0" w:line="500" w:lineRule="exact"/>
        <w:rPr>
          <w:rFonts w:hint="eastAsia" w:ascii="宋体" w:hAnsi="宋体" w:eastAsia="宋体"/>
          <w:b/>
          <w:sz w:val="24"/>
          <w:szCs w:val="24"/>
          <w:lang w:eastAsia="zh-CN"/>
        </w:rPr>
      </w:pPr>
    </w:p>
    <w:p w14:paraId="444AED8F">
      <w:pPr>
        <w:pStyle w:val="17"/>
        <w:spacing w:after="0" w:line="500" w:lineRule="exact"/>
        <w:rPr>
          <w:rFonts w:hint="eastAsia" w:ascii="宋体" w:hAnsi="宋体" w:eastAsia="宋体"/>
          <w:b/>
          <w:sz w:val="24"/>
          <w:szCs w:val="24"/>
          <w:lang w:eastAsia="zh-CN"/>
        </w:rPr>
      </w:pPr>
    </w:p>
    <w:p w14:paraId="09884D76">
      <w:pPr>
        <w:pStyle w:val="17"/>
        <w:spacing w:after="0" w:line="500" w:lineRule="exact"/>
        <w:rPr>
          <w:rFonts w:hint="eastAsia" w:ascii="宋体" w:hAnsi="宋体" w:eastAsia="宋体"/>
          <w:b/>
          <w:sz w:val="24"/>
          <w:szCs w:val="24"/>
          <w:lang w:eastAsia="zh-CN"/>
        </w:rPr>
      </w:pPr>
    </w:p>
    <w:p w14:paraId="4D10586C">
      <w:pPr>
        <w:pStyle w:val="17"/>
        <w:spacing w:after="0" w:line="500" w:lineRule="exact"/>
        <w:rPr>
          <w:rFonts w:hint="eastAsia" w:ascii="宋体" w:hAnsi="宋体" w:eastAsia="宋体"/>
          <w:sz w:val="24"/>
          <w:szCs w:val="24"/>
          <w:lang w:eastAsia="zh-CN"/>
        </w:rPr>
      </w:pPr>
      <w:r>
        <w:rPr>
          <w:rFonts w:hint="eastAsia" w:ascii="宋体" w:hAnsi="宋体" w:eastAsia="宋体"/>
          <w:sz w:val="24"/>
          <w:szCs w:val="24"/>
          <w:lang w:eastAsia="zh-CN"/>
        </w:rPr>
        <w:t>二零二六年</w:t>
      </w:r>
      <w:r>
        <w:rPr>
          <w:rFonts w:hint="eastAsia" w:ascii="宋体" w:hAnsi="宋体" w:eastAsia="宋体"/>
          <w:sz w:val="24"/>
          <w:szCs w:val="24"/>
          <w:lang w:val="en-US" w:eastAsia="zh-CN"/>
        </w:rPr>
        <w:t>八</w:t>
      </w:r>
      <w:r>
        <w:rPr>
          <w:rFonts w:hint="eastAsia" w:ascii="宋体" w:hAnsi="宋体" w:eastAsia="宋体"/>
          <w:sz w:val="24"/>
          <w:szCs w:val="24"/>
          <w:lang w:eastAsia="zh-CN"/>
        </w:rPr>
        <w:t>月</w:t>
      </w:r>
    </w:p>
    <w:p w14:paraId="7A71DC88">
      <w:pPr>
        <w:spacing w:line="500" w:lineRule="exact"/>
        <w:jc w:val="center"/>
        <w:rPr>
          <w:rFonts w:hint="eastAsia" w:ascii="宋体" w:hAnsi="宋体"/>
          <w:b/>
          <w:sz w:val="24"/>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720" w:num="1"/>
          <w:docGrid w:type="lines" w:linePitch="312" w:charSpace="0"/>
        </w:sectPr>
      </w:pPr>
      <w:r>
        <w:rPr>
          <w:rFonts w:hint="eastAsia" w:ascii="宋体" w:hAnsi="宋体"/>
          <w:b/>
          <w:sz w:val="24"/>
        </w:rPr>
        <w:br w:type="page"/>
      </w:r>
    </w:p>
    <w:p w14:paraId="07C38C6A">
      <w:pPr>
        <w:spacing w:line="500" w:lineRule="exact"/>
        <w:jc w:val="center"/>
        <w:rPr>
          <w:rFonts w:hint="eastAsia" w:ascii="黑体" w:hAnsi="黑体" w:eastAsia="黑体"/>
          <w:b/>
          <w:sz w:val="44"/>
          <w:szCs w:val="44"/>
        </w:rPr>
      </w:pPr>
      <w:r>
        <w:rPr>
          <w:rFonts w:hint="eastAsia" w:ascii="黑体" w:hAnsi="黑体" w:eastAsia="黑体"/>
          <w:b/>
          <w:sz w:val="44"/>
          <w:szCs w:val="44"/>
        </w:rPr>
        <w:t>分布式光伏项目合同能源管理协议</w:t>
      </w:r>
    </w:p>
    <w:p w14:paraId="73EE7A39">
      <w:pPr>
        <w:spacing w:line="500" w:lineRule="exact"/>
        <w:jc w:val="center"/>
        <w:rPr>
          <w:rFonts w:hint="eastAsia" w:ascii="宋体" w:hAnsi="宋体"/>
          <w:b/>
          <w:sz w:val="24"/>
        </w:rPr>
      </w:pPr>
    </w:p>
    <w:p w14:paraId="1ED3D3FF">
      <w:pPr>
        <w:spacing w:line="500" w:lineRule="exact"/>
        <w:rPr>
          <w:rFonts w:hint="eastAsia" w:ascii="仿宋" w:hAnsi="仿宋" w:eastAsia="仿宋"/>
          <w:b/>
          <w:sz w:val="28"/>
          <w:szCs w:val="28"/>
          <w:u w:val="single"/>
          <w:lang w:val="es-ES"/>
        </w:rPr>
      </w:pPr>
      <w:r>
        <w:rPr>
          <w:rFonts w:hint="eastAsia" w:ascii="仿宋" w:hAnsi="仿宋" w:eastAsia="仿宋"/>
          <w:b/>
          <w:sz w:val="28"/>
          <w:szCs w:val="28"/>
          <w:lang w:val="es-ES"/>
        </w:rPr>
        <w:t>甲方：</w:t>
      </w:r>
      <w:r>
        <w:rPr>
          <w:rFonts w:hint="eastAsia" w:ascii="仿宋" w:hAnsi="仿宋" w:eastAsia="仿宋"/>
          <w:b/>
          <w:sz w:val="28"/>
          <w:szCs w:val="28"/>
          <w:u w:val="single"/>
          <w:lang w:val="es-ES"/>
        </w:rPr>
        <w:t>珠海斗门财金投资控股有限公司（用能方）</w:t>
      </w:r>
    </w:p>
    <w:p w14:paraId="3F7897B5">
      <w:pPr>
        <w:spacing w:line="500" w:lineRule="exact"/>
        <w:rPr>
          <w:rFonts w:hint="eastAsia" w:ascii="仿宋" w:hAnsi="仿宋" w:eastAsia="仿宋"/>
          <w:b/>
          <w:sz w:val="28"/>
          <w:szCs w:val="28"/>
          <w:u w:val="single"/>
          <w:lang w:val="es-ES"/>
        </w:rPr>
      </w:pPr>
      <w:r>
        <w:rPr>
          <w:rFonts w:hint="eastAsia" w:ascii="仿宋" w:hAnsi="仿宋" w:eastAsia="仿宋"/>
          <w:b/>
          <w:sz w:val="28"/>
          <w:szCs w:val="28"/>
        </w:rPr>
        <w:t>乙方</w:t>
      </w:r>
      <w:r>
        <w:rPr>
          <w:rFonts w:hint="eastAsia" w:ascii="仿宋" w:hAnsi="仿宋" w:eastAsia="仿宋"/>
          <w:b/>
          <w:sz w:val="28"/>
          <w:szCs w:val="28"/>
          <w:lang w:val="es-ES"/>
        </w:rPr>
        <w:t>：</w:t>
      </w:r>
      <w:r>
        <w:rPr>
          <w:rFonts w:hint="eastAsia" w:ascii="仿宋" w:hAnsi="仿宋" w:eastAsia="仿宋"/>
          <w:b/>
          <w:sz w:val="28"/>
          <w:szCs w:val="28"/>
          <w:u w:val="single"/>
          <w:lang w:val="en-US" w:eastAsia="zh-CN"/>
        </w:rPr>
        <w:t xml:space="preserve">                    </w:t>
      </w:r>
      <w:r>
        <w:rPr>
          <w:rFonts w:hint="eastAsia" w:ascii="仿宋" w:hAnsi="仿宋" w:eastAsia="仿宋"/>
          <w:b/>
          <w:sz w:val="28"/>
          <w:szCs w:val="28"/>
          <w:u w:val="single"/>
          <w:lang w:val="es-ES"/>
        </w:rPr>
        <w:t>（合同能源管理方）</w:t>
      </w:r>
    </w:p>
    <w:p w14:paraId="1060CBD4">
      <w:pPr>
        <w:pStyle w:val="17"/>
        <w:spacing w:after="0" w:line="500" w:lineRule="exact"/>
        <w:outlineLvl w:val="0"/>
        <w:rPr>
          <w:rFonts w:hint="eastAsia" w:ascii="仿宋" w:hAnsi="仿宋" w:eastAsia="仿宋"/>
          <w:b/>
          <w:lang w:val="es-ES" w:eastAsia="zh-CN"/>
        </w:rPr>
      </w:pPr>
      <w:r>
        <w:rPr>
          <w:rFonts w:hint="eastAsia" w:ascii="仿宋" w:hAnsi="仿宋" w:eastAsia="仿宋"/>
          <w:b/>
          <w:lang w:val="es-ES" w:eastAsia="zh-CN"/>
        </w:rPr>
        <w:t>第一条 总则</w:t>
      </w:r>
    </w:p>
    <w:p w14:paraId="6C784C05">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1.1 甲方作为项目的实施主体与乙方经过平等协商，在真实、充分地表达各自意愿的基础上，依据《中华人民共和国民法典》《合同能源管理技术通则》（GB/T24915-2020）及其他相关法律法规的规定，本着平等互利的原则，同意乙方在甲方生态农业产业园区开展光伏项目</w:t>
      </w:r>
      <w:r>
        <w:rPr>
          <w:rFonts w:hint="eastAsia" w:ascii="仿宋" w:hAnsi="仿宋" w:eastAsia="仿宋" w:cs="宋体"/>
          <w:kern w:val="0"/>
          <w:sz w:val="28"/>
          <w:szCs w:val="28"/>
          <w:u w:val="single"/>
        </w:rPr>
        <w:t>（以下简称“本项目或项目”），</w:t>
      </w:r>
      <w:r>
        <w:rPr>
          <w:rFonts w:hint="eastAsia" w:ascii="仿宋" w:hAnsi="仿宋" w:eastAsia="仿宋" w:cs="宋体"/>
          <w:kern w:val="0"/>
          <w:sz w:val="28"/>
          <w:szCs w:val="28"/>
        </w:rPr>
        <w:t>按“合同能源管理”模式签订本协议。项目装机容量以实际并网容量为准。</w:t>
      </w:r>
    </w:p>
    <w:p w14:paraId="5E094B02">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1.2 鉴于本项目的实际情况，双方同意按合同能源管理模式分配由该项目建成并网后带来的节能及经济效益。</w:t>
      </w:r>
    </w:p>
    <w:p w14:paraId="4ED23A52">
      <w:pPr>
        <w:autoSpaceDE w:val="0"/>
        <w:autoSpaceDN w:val="0"/>
        <w:adjustRightInd w:val="0"/>
        <w:spacing w:line="50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根据《合同能源管理技术通则》（GB/T 24915-2020），本协议相关事项适用现行最新有效版本：《用能设备能量平衡通则》（GB/T 2587）、《综合能耗计算通则》（GB/T 2589）、《企业能量平衡通则》（GB/T 3484）、《用能单位节能量计算方法》（GB/T 13234）、《节能监测技术通则》（GB/T 15316）、《能源审计技术通则》（GB/T 17166）、《能源管理体系 要求及使用指南》（GB/T 23331）、《节能量测量和验证技术通则》（GB/T 28750）、《节能量测量验证实施指南》（GB/T 32045），标准修订后自动以新版为准。</w:t>
      </w:r>
    </w:p>
    <w:p w14:paraId="0C68989F">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1.3 合作概述：</w:t>
      </w:r>
    </w:p>
    <w:p w14:paraId="23B3D1AC">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1.3.1 双方确认并同意由乙方使用甲方位于</w:t>
      </w:r>
      <w:r>
        <w:rPr>
          <w:rFonts w:hint="eastAsia" w:ascii="仿宋" w:hAnsi="仿宋" w:eastAsia="仿宋" w:cs="宋体"/>
          <w:kern w:val="0"/>
          <w:sz w:val="28"/>
          <w:szCs w:val="28"/>
          <w:u w:val="single"/>
        </w:rPr>
        <w:t>斗门生态农业产业园</w:t>
      </w:r>
      <w:r>
        <w:rPr>
          <w:rFonts w:hint="eastAsia" w:ascii="仿宋" w:hAnsi="仿宋" w:eastAsia="仿宋" w:cs="宋体"/>
          <w:kern w:val="0"/>
          <w:sz w:val="28"/>
          <w:szCs w:val="28"/>
        </w:rPr>
        <w:t>的建筑物屋顶、屋面建设分布式光伏发电项目：</w:t>
      </w:r>
      <w:r>
        <w:rPr>
          <w:rFonts w:hint="eastAsia" w:ascii="仿宋" w:hAnsi="仿宋" w:eastAsia="仿宋" w:cs="宋体"/>
          <w:kern w:val="0"/>
          <w:sz w:val="28"/>
          <w:szCs w:val="28"/>
          <w:u w:val="single"/>
        </w:rPr>
        <w:t>斗门生态农业产业园分布式光伏项目</w:t>
      </w:r>
      <w:r>
        <w:rPr>
          <w:rFonts w:hint="eastAsia" w:ascii="仿宋" w:hAnsi="仿宋" w:eastAsia="仿宋" w:cs="宋体"/>
          <w:kern w:val="0"/>
          <w:sz w:val="28"/>
          <w:szCs w:val="28"/>
        </w:rPr>
        <w:t>，并向甲方供应电站所发电力，项目直流侧装机容量</w:t>
      </w:r>
      <w:r>
        <w:rPr>
          <w:rFonts w:ascii="仿宋" w:hAnsi="仿宋" w:eastAsia="仿宋" w:cs="宋体"/>
          <w:kern w:val="0"/>
          <w:sz w:val="28"/>
          <w:szCs w:val="28"/>
        </w:rPr>
        <w:t>1.248MWp</w:t>
      </w:r>
      <w:r>
        <w:rPr>
          <w:rFonts w:hint="eastAsia" w:ascii="仿宋" w:hAnsi="仿宋" w:eastAsia="仿宋" w:cs="宋体"/>
          <w:kern w:val="0"/>
          <w:sz w:val="28"/>
          <w:szCs w:val="28"/>
        </w:rPr>
        <w:t>，实际装机容量以并网容量为准。</w:t>
      </w:r>
    </w:p>
    <w:p w14:paraId="447F7905">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1.3.2 电站项目建成并网，经验收正式发电后，正式开始计算本合同期限。</w:t>
      </w:r>
    </w:p>
    <w:p w14:paraId="3DBD8296">
      <w:pPr>
        <w:widowControl/>
        <w:spacing w:line="500" w:lineRule="exact"/>
        <w:ind w:firstLine="560" w:firstLineChars="200"/>
        <w:rPr>
          <w:rFonts w:hint="eastAsia" w:ascii="仿宋" w:hAnsi="仿宋" w:eastAsia="仿宋"/>
          <w:sz w:val="28"/>
          <w:szCs w:val="28"/>
        </w:rPr>
      </w:pPr>
      <w:r>
        <w:rPr>
          <w:rFonts w:hint="eastAsia" w:ascii="仿宋" w:hAnsi="仿宋" w:eastAsia="仿宋" w:cs="宋体"/>
          <w:kern w:val="0"/>
          <w:sz w:val="28"/>
          <w:szCs w:val="28"/>
        </w:rPr>
        <w:t>（1）本合同项下采用20年固定合作期+5年顺延合作期模式：自项目首次发电日起前20个顺延年为固定合作期，首期20年届满后，双方同意按原合同条件自动顺延5年。本协议项下“年”均指顺延年，</w:t>
      </w:r>
      <w:r>
        <w:rPr>
          <w:rFonts w:hint="eastAsia" w:ascii="仿宋" w:hAnsi="仿宋" w:eastAsia="仿宋"/>
          <w:sz w:val="28"/>
          <w:szCs w:val="28"/>
        </w:rPr>
        <w:t>（即如</w:t>
      </w:r>
      <w:r>
        <w:rPr>
          <w:rFonts w:hint="eastAsia" w:ascii="仿宋" w:hAnsi="仿宋" w:eastAsia="仿宋" w:cs="仿宋"/>
          <w:sz w:val="28"/>
          <w:szCs w:val="28"/>
        </w:rPr>
        <w:t>项目首次发电日为2026年10月1日，则第一个顺延年为2026年10月1日至2027年9月30日。以下如无特别说明，“年”均指“顺延年”，25个顺延年即为</w:t>
      </w:r>
      <w:r>
        <w:rPr>
          <w:rFonts w:hint="eastAsia" w:ascii="仿宋" w:hAnsi="仿宋" w:eastAsia="仿宋"/>
          <w:sz w:val="28"/>
          <w:szCs w:val="28"/>
        </w:rPr>
        <w:t>合同期），甲方同意优先消纳乙方光伏电站所发绿电电量，乙方按照</w:t>
      </w:r>
      <w:r>
        <w:rPr>
          <w:rFonts w:hint="eastAsia" w:ascii="仿宋" w:hAnsi="仿宋" w:eastAsia="仿宋"/>
          <w:sz w:val="28"/>
          <w:szCs w:val="28"/>
          <w:lang w:val="en-US" w:eastAsia="zh-CN"/>
        </w:rPr>
        <w:t>xx</w:t>
      </w:r>
      <w:r>
        <w:rPr>
          <w:rFonts w:hint="eastAsia" w:ascii="仿宋" w:hAnsi="仿宋" w:eastAsia="仿宋"/>
          <w:sz w:val="28"/>
          <w:szCs w:val="28"/>
        </w:rPr>
        <w:t>元/KWh电价与甲方结算</w:t>
      </w:r>
      <w:r>
        <w:rPr>
          <w:rFonts w:hint="eastAsia" w:ascii="仿宋" w:hAnsi="仿宋" w:eastAsia="仿宋" w:cs="仿宋"/>
          <w:sz w:val="28"/>
          <w:szCs w:val="28"/>
        </w:rPr>
        <w:t>，</w:t>
      </w:r>
      <w:r>
        <w:rPr>
          <w:rFonts w:hint="eastAsia" w:ascii="仿宋" w:hAnsi="仿宋" w:eastAsia="仿宋" w:cs="仿宋"/>
          <w:kern w:val="0"/>
          <w:sz w:val="28"/>
          <w:szCs w:val="28"/>
          <w:lang w:bidi="ar"/>
        </w:rPr>
        <w:t>该电价始终不得高于同期当地电网工商业用电基准目录电价（</w:t>
      </w:r>
      <w:r>
        <w:rPr>
          <w:rFonts w:hint="eastAsia" w:ascii="仿宋" w:hAnsi="仿宋" w:eastAsia="仿宋" w:cs="仿宋"/>
          <w:sz w:val="28"/>
          <w:szCs w:val="28"/>
        </w:rPr>
        <w:t>基准目录电价指珠海市工商业大工业</w:t>
      </w:r>
      <w:r>
        <w:rPr>
          <w:rFonts w:hint="eastAsia" w:ascii="仿宋" w:hAnsi="仿宋" w:eastAsia="仿宋" w:cs="仿宋"/>
          <w:sz w:val="28"/>
          <w:szCs w:val="28"/>
          <w:lang w:val="en-US" w:eastAsia="zh-CN"/>
        </w:rPr>
        <w:t>两部</w:t>
      </w:r>
      <w:r>
        <w:rPr>
          <w:rFonts w:hint="eastAsia" w:ascii="仿宋" w:hAnsi="仿宋" w:eastAsia="仿宋" w:cs="仿宋"/>
          <w:sz w:val="28"/>
          <w:szCs w:val="28"/>
        </w:rPr>
        <w:t>制1-10（20）千伏用电尖、</w:t>
      </w:r>
      <w:r>
        <w:rPr>
          <w:rStyle w:val="14"/>
          <w:rFonts w:hint="eastAsia" w:ascii="仿宋" w:hAnsi="仿宋" w:eastAsia="仿宋" w:cs="仿宋"/>
          <w:b w:val="0"/>
          <w:sz w:val="28"/>
          <w:szCs w:val="28"/>
        </w:rPr>
        <w:t>峰、平时段加权平均目录销售电价</w:t>
      </w:r>
      <w:r>
        <w:rPr>
          <w:rFonts w:hint="eastAsia" w:ascii="仿宋" w:hAnsi="仿宋" w:eastAsia="仿宋" w:cs="仿宋"/>
          <w:sz w:val="28"/>
          <w:szCs w:val="28"/>
        </w:rPr>
        <w:t>，以南方电网珠海供电局每月出具给甲方的电费账单加权核算为准）</w:t>
      </w:r>
      <w:r>
        <w:rPr>
          <w:rFonts w:hint="eastAsia" w:ascii="仿宋" w:hAnsi="仿宋" w:eastAsia="仿宋" w:cs="仿宋"/>
          <w:kern w:val="0"/>
          <w:sz w:val="28"/>
          <w:szCs w:val="28"/>
          <w:lang w:bidi="ar"/>
        </w:rPr>
        <w:t>的90%；如</w:t>
      </w:r>
      <w:r>
        <w:rPr>
          <w:rFonts w:hint="eastAsia" w:ascii="仿宋" w:hAnsi="仿宋" w:eastAsia="仿宋" w:cs="仿宋"/>
          <w:sz w:val="28"/>
          <w:szCs w:val="28"/>
          <w:lang w:bidi="ar"/>
        </w:rPr>
        <w:t>电价高于</w:t>
      </w:r>
      <w:r>
        <w:rPr>
          <w:rFonts w:hint="eastAsia" w:ascii="仿宋" w:hAnsi="仿宋" w:eastAsia="仿宋" w:cs="仿宋"/>
          <w:kern w:val="0"/>
          <w:sz w:val="28"/>
          <w:szCs w:val="28"/>
          <w:lang w:bidi="ar"/>
        </w:rPr>
        <w:t>当地电网工商业用电基准目录电价</w:t>
      </w:r>
      <w:r>
        <w:rPr>
          <w:rFonts w:hint="eastAsia" w:ascii="仿宋" w:hAnsi="仿宋" w:eastAsia="仿宋" w:cs="仿宋"/>
          <w:sz w:val="28"/>
          <w:szCs w:val="28"/>
          <w:lang w:bidi="ar"/>
        </w:rPr>
        <w:t>90%，实际结算电价按</w:t>
      </w:r>
      <w:r>
        <w:rPr>
          <w:rFonts w:hint="eastAsia" w:ascii="仿宋" w:hAnsi="仿宋" w:eastAsia="仿宋" w:cs="仿宋"/>
          <w:kern w:val="0"/>
          <w:sz w:val="28"/>
          <w:szCs w:val="28"/>
          <w:lang w:bidi="ar"/>
        </w:rPr>
        <w:t>当地电网工商业用电基准目录电价</w:t>
      </w:r>
      <w:r>
        <w:rPr>
          <w:rFonts w:hint="eastAsia" w:ascii="仿宋" w:hAnsi="仿宋" w:eastAsia="仿宋" w:cs="仿宋"/>
          <w:sz w:val="28"/>
          <w:szCs w:val="28"/>
          <w:lang w:bidi="ar"/>
        </w:rPr>
        <w:t>的90%执行，</w:t>
      </w:r>
      <w:r>
        <w:rPr>
          <w:rFonts w:hint="eastAsia" w:ascii="仿宋" w:hAnsi="仿宋" w:eastAsia="仿宋"/>
          <w:sz w:val="28"/>
          <w:szCs w:val="28"/>
        </w:rPr>
        <w:t>乙方所供电能质量及供电行为应符合法律法规的要求和国家南方电网的规定。</w:t>
      </w:r>
    </w:p>
    <w:p w14:paraId="0D4DD4E1">
      <w:pPr>
        <w:widowControl/>
        <w:spacing w:line="500" w:lineRule="exact"/>
        <w:ind w:firstLine="560" w:firstLineChars="200"/>
        <w:rPr>
          <w:rFonts w:hint="eastAsia" w:ascii="仿宋" w:hAnsi="仿宋" w:eastAsia="仿宋"/>
          <w:sz w:val="28"/>
          <w:szCs w:val="28"/>
        </w:rPr>
      </w:pPr>
      <w:r>
        <w:rPr>
          <w:rFonts w:hint="eastAsia" w:ascii="仿宋" w:hAnsi="仿宋" w:eastAsia="仿宋"/>
          <w:sz w:val="28"/>
          <w:szCs w:val="28"/>
        </w:rPr>
        <w:t>（2）乙方光伏电站项目所发的电</w:t>
      </w:r>
      <w:r>
        <w:rPr>
          <w:rFonts w:hint="eastAsia" w:ascii="仿宋" w:hAnsi="仿宋" w:eastAsia="仿宋" w:cs="仿宋"/>
          <w:sz w:val="28"/>
          <w:szCs w:val="28"/>
        </w:rPr>
        <w:t>力</w:t>
      </w:r>
      <w:r>
        <w:rPr>
          <w:rFonts w:hint="eastAsia" w:ascii="仿宋" w:hAnsi="仿宋" w:eastAsia="仿宋"/>
          <w:sz w:val="28"/>
          <w:szCs w:val="28"/>
        </w:rPr>
        <w:t>甲方无法消纳的部分，由乙方自行处理。</w:t>
      </w:r>
    </w:p>
    <w:p w14:paraId="1CB3B1AD">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1.3.3 甲方根据本协议的约定配合乙方完成对电站项目的运行和维护管理。</w:t>
      </w:r>
    </w:p>
    <w:p w14:paraId="16FCD885">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1.3.4 本合同下，甲方同意按建筑物现状提供给乙方利用其建筑物可安装光伏设施设备的屋顶、屋面、场地（“标的物”）建设本项目，乙方投资建设光伏电站并向甲方提供优惠电价以有偿取得标的物的使用权，</w:t>
      </w:r>
      <w:r>
        <w:rPr>
          <w:rFonts w:hint="eastAsia" w:ascii="仿宋" w:hAnsi="仿宋" w:eastAsia="仿宋" w:cs="宋体"/>
          <w:kern w:val="0"/>
          <w:sz w:val="28"/>
          <w:szCs w:val="28"/>
          <w:lang w:val="en-US" w:eastAsia="zh-CN"/>
        </w:rPr>
        <w:t>合作</w:t>
      </w:r>
      <w:r>
        <w:rPr>
          <w:rFonts w:hint="eastAsia" w:ascii="仿宋" w:hAnsi="仿宋" w:eastAsia="仿宋" w:cs="宋体"/>
          <w:kern w:val="0"/>
          <w:sz w:val="28"/>
          <w:szCs w:val="28"/>
        </w:rPr>
        <w:t>期内乙方无需额外支付租金，但非赠与或无偿使用。</w:t>
      </w:r>
    </w:p>
    <w:p w14:paraId="34B3EF46">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1.4 补贴分配及碳排放收益权益：</w:t>
      </w:r>
    </w:p>
    <w:p w14:paraId="75EF1775">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分布式光伏电价补贴、政府津贴或碳排放收益，按国家或政府相关政策执行，乙方均有配合另一方申请的义务。如果国家或政府相关政策没有明确受益方，则原则上由甲乙双方各享50%收益</w:t>
      </w: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仅限本项目收益</w:t>
      </w:r>
      <w:r>
        <w:rPr>
          <w:rFonts w:hint="eastAsia" w:ascii="仿宋" w:hAnsi="仿宋" w:eastAsia="仿宋" w:cs="宋体"/>
          <w:kern w:val="0"/>
          <w:sz w:val="28"/>
          <w:szCs w:val="28"/>
          <w:lang w:eastAsia="zh-CN"/>
        </w:rPr>
        <w:t>）</w:t>
      </w:r>
      <w:r>
        <w:rPr>
          <w:rFonts w:hint="eastAsia" w:ascii="仿宋" w:hAnsi="仿宋" w:eastAsia="仿宋" w:cs="宋体"/>
          <w:kern w:val="0"/>
          <w:sz w:val="28"/>
          <w:szCs w:val="28"/>
        </w:rPr>
        <w:t>；也可届时双方根据市场惯例进行商议确定，并另行签署补充协议。</w:t>
      </w:r>
    </w:p>
    <w:p w14:paraId="7063EB32">
      <w:pPr>
        <w:pStyle w:val="17"/>
        <w:spacing w:after="0" w:line="500" w:lineRule="exact"/>
        <w:outlineLvl w:val="0"/>
        <w:rPr>
          <w:rFonts w:hint="eastAsia" w:ascii="仿宋" w:hAnsi="仿宋" w:eastAsia="仿宋"/>
          <w:b/>
          <w:lang w:val="es-ES" w:eastAsia="zh-CN"/>
        </w:rPr>
      </w:pPr>
      <w:r>
        <w:rPr>
          <w:rFonts w:hint="eastAsia" w:ascii="仿宋" w:hAnsi="仿宋" w:eastAsia="仿宋"/>
          <w:b/>
          <w:lang w:val="es-ES" w:eastAsia="zh-CN"/>
        </w:rPr>
        <w:t>第二条 项目主要内容</w:t>
      </w:r>
    </w:p>
    <w:p w14:paraId="4442DB91">
      <w:pPr>
        <w:autoSpaceDE w:val="0"/>
        <w:autoSpaceDN w:val="0"/>
        <w:adjustRightInd w:val="0"/>
        <w:spacing w:line="500" w:lineRule="exact"/>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2.1 项目名称：</w:t>
      </w:r>
      <w:r>
        <w:rPr>
          <w:rFonts w:hint="eastAsia" w:ascii="仿宋" w:hAnsi="仿宋" w:eastAsia="仿宋" w:cs="宋体"/>
          <w:kern w:val="0"/>
          <w:sz w:val="28"/>
          <w:szCs w:val="28"/>
          <w:u w:val="single"/>
        </w:rPr>
        <w:t>斗门生态农业产业园分布式光伏项目</w:t>
      </w:r>
    </w:p>
    <w:p w14:paraId="53EE3400">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2.2 甲方同意按建筑物现状提供给乙方利用其建筑物屋顶、屋面建设本项目，通过项目的实施完成甲方节电目标以及其它双方约定的事项。</w:t>
      </w:r>
    </w:p>
    <w:p w14:paraId="744DB42C">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2.3 项目建设方案：</w:t>
      </w:r>
    </w:p>
    <w:p w14:paraId="6405E375">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2.3.1 乙方负责项目的投资，负责完成电站设计、施工、建设；负责项目的运营、管理、维护以及过程中发生的所有费用。</w:t>
      </w:r>
    </w:p>
    <w:p w14:paraId="50F3F9DC">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2.3.2 甲方同意乙方按照2.3.1之约定执行项目投资等工作，并给予必要的配合和支持。</w:t>
      </w:r>
    </w:p>
    <w:p w14:paraId="40C7AF84">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2.4 项目实施目标：降低企业能耗指标、降低用电成本、节能减排，改善环境。</w:t>
      </w:r>
    </w:p>
    <w:p w14:paraId="47A53252">
      <w:pPr>
        <w:pStyle w:val="17"/>
        <w:spacing w:after="0" w:line="500" w:lineRule="exact"/>
        <w:outlineLvl w:val="0"/>
        <w:rPr>
          <w:rFonts w:hint="eastAsia" w:ascii="仿宋" w:hAnsi="仿宋" w:eastAsia="仿宋"/>
          <w:b/>
          <w:lang w:val="es-ES" w:eastAsia="zh-CN"/>
        </w:rPr>
      </w:pPr>
      <w:r>
        <w:rPr>
          <w:rFonts w:hint="eastAsia" w:ascii="仿宋" w:hAnsi="仿宋" w:eastAsia="仿宋"/>
          <w:b/>
          <w:lang w:val="es-ES" w:eastAsia="zh-CN"/>
        </w:rPr>
        <w:t>第三条  项目期限</w:t>
      </w:r>
    </w:p>
    <w:p w14:paraId="6E2DA46D">
      <w:pPr>
        <w:pStyle w:val="5"/>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3.1 本协议自双方法人代表或授权代表签字并加盖公司公章之日起生效，项目发电后开始计算合作期，至25年合作期满时终止</w:t>
      </w:r>
      <w:r>
        <w:rPr>
          <w:rFonts w:hint="eastAsia"/>
        </w:rPr>
        <w:t>。</w:t>
      </w:r>
    </w:p>
    <w:p w14:paraId="31E638DF">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3.2 本协议生效后，由乙方向相关政府主管部门和电力部门进行相关施工手续的申报并获得批准许可，甲方应予以提供必要的协助（包括但不限于配合审批部门的调查确定，提供构筑物产权合法有效证明等）。</w:t>
      </w:r>
    </w:p>
    <w:p w14:paraId="1F193C2A">
      <w:pPr>
        <w:autoSpaceDE w:val="0"/>
        <w:autoSpaceDN w:val="0"/>
        <w:adjustRightInd w:val="0"/>
        <w:spacing w:line="500" w:lineRule="exact"/>
        <w:ind w:firstLine="560" w:firstLineChars="200"/>
      </w:pPr>
      <w:r>
        <w:rPr>
          <w:rFonts w:hint="eastAsia" w:ascii="仿宋" w:hAnsi="仿宋" w:eastAsia="仿宋" w:cs="宋体"/>
          <w:kern w:val="0"/>
          <w:sz w:val="28"/>
          <w:szCs w:val="28"/>
        </w:rPr>
        <w:t>3.3 双方分享节能效益的起始日为项目首次发电日，分享期限二十五年。协议期限届满之前60日内，双方可协商展期或终止协议，但需另行签订协议。</w:t>
      </w:r>
    </w:p>
    <w:p w14:paraId="42965240">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3.4 本协议履行过程中，发生下列任何一种情况时双方均有权单方解除本协议，且相互不承担违约责任：</w:t>
      </w:r>
    </w:p>
    <w:p w14:paraId="1BDE4907">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1）本协议生效后，乙方在获得相关政府主管部门和电力部门进行相关施工手续的申报并获得批准许可后，6个月内无法进场施工。</w:t>
      </w:r>
    </w:p>
    <w:p w14:paraId="39A45AF9">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2）本协议生效后，乙方在12个月内仍无法获得上级单位、相关政府主管部门和电力部门对本项目相关手续的批准许可。</w:t>
      </w:r>
    </w:p>
    <w:p w14:paraId="7142DC98">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3）本协议生效后，甲方无故或无法提供必要的配合，出具真实合法有效的构筑物产权证明。</w:t>
      </w:r>
    </w:p>
    <w:p w14:paraId="2D15A0C4">
      <w:pPr>
        <w:pStyle w:val="17"/>
        <w:spacing w:after="0" w:line="500" w:lineRule="exact"/>
        <w:outlineLvl w:val="0"/>
        <w:rPr>
          <w:rFonts w:hint="eastAsia" w:ascii="仿宋" w:hAnsi="仿宋" w:eastAsia="仿宋"/>
          <w:b/>
          <w:lang w:val="es-ES" w:eastAsia="zh-CN"/>
        </w:rPr>
      </w:pPr>
      <w:r>
        <w:rPr>
          <w:rFonts w:hint="eastAsia" w:ascii="仿宋" w:hAnsi="仿宋" w:eastAsia="仿宋"/>
          <w:b/>
          <w:lang w:val="es-ES" w:eastAsia="zh-CN"/>
        </w:rPr>
        <w:t>第四条 项目方案设计实施和项目的验收</w:t>
      </w:r>
    </w:p>
    <w:p w14:paraId="2F8D44B2">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4.1 甲乙双方按照本协议的约定实施本项目。甲方取得生态农业产业园附属建构筑物产权及相关电费代缴账户变更完成</w:t>
      </w:r>
      <w:r>
        <w:rPr>
          <w:rFonts w:hint="eastAsia" w:ascii="仿宋" w:hAnsi="仿宋" w:eastAsia="仿宋" w:cs="宋体"/>
          <w:kern w:val="0"/>
          <w:sz w:val="28"/>
          <w:szCs w:val="28"/>
          <w:lang w:val="en-US" w:eastAsia="zh-CN"/>
        </w:rPr>
        <w:t>之日起</w:t>
      </w:r>
      <w:bookmarkStart w:id="0" w:name="_GoBack"/>
      <w:bookmarkEnd w:id="0"/>
      <w:r>
        <w:rPr>
          <w:rFonts w:hint="eastAsia" w:ascii="仿宋" w:hAnsi="仿宋" w:eastAsia="仿宋" w:cs="宋体"/>
          <w:kern w:val="0"/>
          <w:sz w:val="28"/>
          <w:szCs w:val="28"/>
          <w:lang w:val="en-US" w:eastAsia="zh-CN"/>
        </w:rPr>
        <w:t>4</w:t>
      </w:r>
      <w:r>
        <w:rPr>
          <w:rFonts w:hint="eastAsia" w:ascii="仿宋" w:hAnsi="仿宋" w:eastAsia="仿宋" w:cs="宋体"/>
          <w:kern w:val="0"/>
          <w:sz w:val="28"/>
          <w:szCs w:val="28"/>
        </w:rPr>
        <w:t>月之内，乙方应完成本项目的投资建设并通过验收，并确保在该期限内正式并网发电。</w:t>
      </w:r>
    </w:p>
    <w:p w14:paraId="39E2A145">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4.1.1 若乙方自身资金、设备、施工等原因造成并网工期逾期，前30日为协商宽限期不收取违约金；宽限期届满后每逾期1个工作日，甲方有权要求乙方按项目总投资0.0</w:t>
      </w:r>
      <w:r>
        <w:rPr>
          <w:rFonts w:hint="eastAsia" w:ascii="仿宋" w:hAnsi="仿宋" w:eastAsia="仿宋" w:cs="宋体"/>
          <w:kern w:val="0"/>
          <w:sz w:val="28"/>
          <w:szCs w:val="28"/>
          <w:lang w:val="en-US" w:eastAsia="zh-CN"/>
        </w:rPr>
        <w:t>3</w:t>
      </w:r>
      <w:r>
        <w:rPr>
          <w:rFonts w:hint="eastAsia" w:ascii="仿宋" w:hAnsi="仿宋" w:eastAsia="仿宋" w:cs="宋体"/>
          <w:kern w:val="0"/>
          <w:sz w:val="28"/>
          <w:szCs w:val="28"/>
        </w:rPr>
        <w:t>%赔付违约金，全部违约金累计总额最高不超过项目总投资5%；连续逾期超过90个工作日且全部过错归属于乙方的，甲方有权单方解除协议并要求乙方赔偿直接经济损失。</w:t>
      </w:r>
    </w:p>
    <w:p w14:paraId="0C0B1E0E">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4.1.2 因甲方未按时交付场地、资料不全、拒不配合停电、擅自变更设计、电网审批超时、台风暴雨、政府管控或不可抗力等非乙方原因造成工期延误的，甲方不计收乙方违约金，工期同步顺延；若甲方上述行为造成工期延误超过30日，乙方有权要求甲方按项目总投资0.0</w:t>
      </w:r>
      <w:r>
        <w:rPr>
          <w:rFonts w:hint="eastAsia" w:ascii="仿宋" w:hAnsi="仿宋" w:eastAsia="仿宋" w:cs="宋体"/>
          <w:kern w:val="0"/>
          <w:sz w:val="28"/>
          <w:szCs w:val="28"/>
          <w:lang w:val="en-US" w:eastAsia="zh-CN"/>
        </w:rPr>
        <w:t>3</w:t>
      </w:r>
      <w:r>
        <w:rPr>
          <w:rFonts w:hint="eastAsia" w:ascii="仿宋" w:hAnsi="仿宋" w:eastAsia="仿宋" w:cs="宋体"/>
          <w:kern w:val="0"/>
          <w:sz w:val="28"/>
          <w:szCs w:val="28"/>
        </w:rPr>
        <w:t>%赔付违约金、人工费、材料费、机械费和管理费等，全部违约金累计总额最高不超过项目总投资5%。</w:t>
      </w:r>
    </w:p>
    <w:p w14:paraId="7871E9A2">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4.2 乙方按照本协议的约定，聘请具备资质的设计单位承担项目设计及工程建设，并按期开展项目建设，做好项目运维及管理工作。</w:t>
      </w:r>
    </w:p>
    <w:p w14:paraId="451CEE01">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4.3 项目建设设计方案完成后需提交甲方进行确认，项目设计方案在甲方收到后</w:t>
      </w:r>
      <w:r>
        <w:rPr>
          <w:rFonts w:hint="eastAsia" w:ascii="仿宋" w:hAnsi="仿宋" w:eastAsia="仿宋"/>
          <w:sz w:val="28"/>
          <w:szCs w:val="28"/>
        </w:rPr>
        <w:t>7个工作日内</w:t>
      </w:r>
      <w:r>
        <w:rPr>
          <w:rFonts w:hint="eastAsia" w:ascii="仿宋" w:hAnsi="仿宋" w:eastAsia="仿宋" w:cs="宋体"/>
          <w:kern w:val="0"/>
          <w:sz w:val="28"/>
          <w:szCs w:val="28"/>
        </w:rPr>
        <w:t>如有异议应书面提出，否则视为对项目设计方案的同意。</w:t>
      </w:r>
      <w:r>
        <w:rPr>
          <w:rFonts w:hint="eastAsia" w:ascii="仿宋" w:hAnsi="仿宋" w:eastAsia="仿宋"/>
          <w:sz w:val="28"/>
          <w:szCs w:val="28"/>
        </w:rPr>
        <w:t>除非双方以书面方式就设计方案修改达成一致，或者依照本协议第八条的规定修改设计方案，否则不得修改设计方案。甲方提出的合理修改意见，乙方应在15个工作日内完成修改并再次提交。若甲方无正当理由反复提出不合理修改意见导致设计周期延误超过30天，乙方有权要求顺延项目工期，且不承担违约责任。</w:t>
      </w:r>
    </w:p>
    <w:p w14:paraId="01E36379">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4.4 甲乙双方应当按照国家相关技术规范规定进行项目验收，项目报批和验收所需的费用均由乙方承担。</w:t>
      </w:r>
    </w:p>
    <w:p w14:paraId="27AD69E0">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4.5 本项目因乙方的设计、施工对甲方建筑物的主体结构和房屋安全造成损坏，甲方有权要求乙方暂停施工并对损坏部分进行修复，造成甲方其他经济损失的，甲方有权要求乙方赔偿直接损失。</w:t>
      </w:r>
    </w:p>
    <w:p w14:paraId="31324D73">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4.6 乙方项目建设过程中，应遵守国家的安全管理规定，确保施工安全。乙方的工程建设安全风险及责任由乙方承担。</w:t>
      </w:r>
    </w:p>
    <w:p w14:paraId="0B6BDAE6">
      <w:pPr>
        <w:pStyle w:val="17"/>
        <w:spacing w:after="0" w:line="500" w:lineRule="exact"/>
        <w:outlineLvl w:val="0"/>
        <w:rPr>
          <w:rFonts w:hint="eastAsia" w:ascii="仿宋" w:hAnsi="仿宋" w:eastAsia="仿宋"/>
          <w:b/>
          <w:lang w:val="es-ES" w:eastAsia="zh-CN"/>
        </w:rPr>
      </w:pPr>
      <w:r>
        <w:rPr>
          <w:rFonts w:hint="eastAsia" w:ascii="仿宋" w:hAnsi="仿宋" w:eastAsia="仿宋"/>
          <w:b/>
          <w:lang w:val="es-ES" w:eastAsia="zh-CN"/>
        </w:rPr>
        <w:t>第五条 合同能源管理方式及甲方购电方式和付款</w:t>
      </w:r>
    </w:p>
    <w:p w14:paraId="43B9570A">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5.1 项目约</w:t>
      </w:r>
      <w:r>
        <w:rPr>
          <w:rFonts w:ascii="仿宋" w:hAnsi="仿宋" w:eastAsia="仿宋" w:cs="宋体"/>
          <w:kern w:val="0"/>
          <w:sz w:val="28"/>
          <w:szCs w:val="28"/>
          <w:u w:val="single"/>
        </w:rPr>
        <w:t>1.248</w:t>
      </w:r>
      <w:r>
        <w:rPr>
          <w:rFonts w:hint="eastAsia" w:ascii="仿宋" w:hAnsi="仿宋" w:eastAsia="仿宋" w:cs="宋体"/>
          <w:kern w:val="0"/>
          <w:sz w:val="28"/>
          <w:szCs w:val="28"/>
        </w:rPr>
        <w:t>MWp（装机容量以实际并网容量为准）建成并网发电后的效益分享及甲方向乙方购电电价计算如下：</w:t>
      </w:r>
    </w:p>
    <w:p w14:paraId="384CEEEB">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5.1.1 甲方在节能分享期内每月用本项目的光伏电量，设独立电表，以电表实际计量为准。</w:t>
      </w:r>
    </w:p>
    <w:p w14:paraId="2FE057C8">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5.1.2 乙方向甲方所供电的电能质量及供电方式应符合法律、法规的要求与南方电网公司的规定。</w:t>
      </w:r>
    </w:p>
    <w:p w14:paraId="4C94694D">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5.2 用电量的计算公式及用电量确认：</w:t>
      </w:r>
    </w:p>
    <w:p w14:paraId="74987A0C">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5.2.1 甲方在节能分享期内每月用本项目的光伏电量等于乙方发电侧（光伏计量柜）电度表上送电量-关口计量表上送电量（计量方法以项目完成接入系统报告，并根据接入系统报告要求设置合格的计量装置后确认）。</w:t>
      </w:r>
    </w:p>
    <w:p w14:paraId="70775D13">
      <w:pPr>
        <w:autoSpaceDE w:val="0"/>
        <w:autoSpaceDN w:val="0"/>
        <w:adjustRightInd w:val="0"/>
        <w:spacing w:line="50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计量装置含在项目内，且满足国家标准要求，由乙方委托有资质的第三方机构每5年进行检定一次。检定结果报甲方备案。</w:t>
      </w:r>
    </w:p>
    <w:p w14:paraId="1299CE18">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任一方对电量有异议，可在5个工作日内向对方书面提出。由甲乙双方共同委托第三方有资质机构复检，复检费用由异议方先行垫付。结果偏差未超过±1%的由提出异议方承担复检费用，结果偏差超过±1%的由对方承担复检费用。</w:t>
      </w:r>
    </w:p>
    <w:p w14:paraId="188F1EB7">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5.2.2 用电量确认：</w:t>
      </w:r>
    </w:p>
    <w:p w14:paraId="70CC2CCF">
      <w:pPr>
        <w:autoSpaceDE w:val="0"/>
        <w:autoSpaceDN w:val="0"/>
        <w:adjustRightInd w:val="0"/>
        <w:spacing w:line="500" w:lineRule="exact"/>
        <w:ind w:firstLine="560" w:firstLineChars="200"/>
        <w:rPr>
          <w:rFonts w:hint="eastAsia" w:ascii="仿宋" w:hAnsi="仿宋" w:eastAsia="仿宋"/>
          <w:sz w:val="28"/>
          <w:szCs w:val="28"/>
        </w:rPr>
      </w:pPr>
      <w:r>
        <w:rPr>
          <w:rFonts w:hint="eastAsia" w:ascii="仿宋" w:hAnsi="仿宋" w:eastAsia="仿宋" w:cs="宋体"/>
          <w:kern w:val="0"/>
          <w:sz w:val="28"/>
          <w:szCs w:val="28"/>
        </w:rPr>
        <w:t>1）每月第</w:t>
      </w:r>
      <w:r>
        <w:rPr>
          <w:rFonts w:hint="eastAsia" w:ascii="仿宋" w:hAnsi="仿宋" w:eastAsia="仿宋" w:cs="宋体"/>
          <w:kern w:val="0"/>
          <w:sz w:val="28"/>
          <w:szCs w:val="28"/>
          <w:u w:val="single"/>
        </w:rPr>
        <w:t>3</w:t>
      </w:r>
      <w:r>
        <w:rPr>
          <w:rFonts w:hint="eastAsia" w:ascii="仿宋" w:hAnsi="仿宋" w:eastAsia="仿宋" w:cs="宋体"/>
          <w:kern w:val="0"/>
          <w:sz w:val="28"/>
          <w:szCs w:val="28"/>
        </w:rPr>
        <w:t>日前甲乙双方共同抄录确认5.2.1项所述表计的电量记录，</w:t>
      </w:r>
      <w:r>
        <w:rPr>
          <w:rFonts w:hint="eastAsia" w:ascii="仿宋" w:hAnsi="仿宋" w:eastAsia="仿宋"/>
          <w:sz w:val="28"/>
          <w:szCs w:val="28"/>
        </w:rPr>
        <w:t>并共同签署《用电量结算确认单》（《用电量结算确认单》</w:t>
      </w:r>
      <w:r>
        <w:rPr>
          <w:rFonts w:hint="eastAsia" w:ascii="仿宋" w:hAnsi="仿宋" w:eastAsia="仿宋" w:cs="宋体"/>
          <w:kern w:val="0"/>
          <w:sz w:val="28"/>
          <w:szCs w:val="28"/>
        </w:rPr>
        <w:t>另行书面确定</w:t>
      </w:r>
      <w:r>
        <w:rPr>
          <w:rFonts w:hint="eastAsia" w:ascii="仿宋" w:hAnsi="仿宋" w:eastAsia="仿宋"/>
          <w:sz w:val="28"/>
          <w:szCs w:val="28"/>
        </w:rPr>
        <w:t>）；如上线电量电子抄录系统，每月电量以电子抄录为准。如任一方对电子抄录的电量有异议，双方现场抄录电量进行校核。</w:t>
      </w:r>
    </w:p>
    <w:p w14:paraId="459A0BCD">
      <w:pPr>
        <w:autoSpaceDE w:val="0"/>
        <w:autoSpaceDN w:val="0"/>
        <w:adjustRightInd w:val="0"/>
        <w:spacing w:line="500" w:lineRule="exact"/>
        <w:ind w:firstLine="560" w:firstLineChars="200"/>
        <w:rPr>
          <w:rFonts w:hint="eastAsia" w:ascii="仿宋" w:hAnsi="仿宋" w:eastAsia="仿宋"/>
          <w:sz w:val="28"/>
          <w:szCs w:val="28"/>
        </w:rPr>
      </w:pPr>
      <w:r>
        <w:rPr>
          <w:rFonts w:hint="eastAsia" w:ascii="仿宋" w:hAnsi="仿宋" w:eastAsia="仿宋"/>
          <w:sz w:val="28"/>
          <w:szCs w:val="28"/>
        </w:rPr>
        <w:t>抄录当天甲乙双方应及时完成验证，如无异议双方应立即签署《用电量结算确认单》进行电量确认。</w:t>
      </w:r>
    </w:p>
    <w:p w14:paraId="41C38F97">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2）甲方应充分配合乙方进行用电电量的确认。甲乙在电站正式并网运行后，各自确定电量联系人来完成每月电量的确认。甲乙双方的联系人员，双方将另行书面确认。</w:t>
      </w:r>
    </w:p>
    <w:p w14:paraId="06685EB6">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5.3 甲方向乙方支付电费的方式：</w:t>
      </w:r>
    </w:p>
    <w:p w14:paraId="6D063133">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在购电期限内，甲方应按以下约定向乙方支付电费购买款。</w:t>
      </w:r>
    </w:p>
    <w:p w14:paraId="219A5D80">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5.3.1 在用电量确认后，乙方将在3个工作日内根据确认的用电量向甲方发出书面收款对账单，甲方应在收到对账单后3个工作日内确认。</w:t>
      </w:r>
    </w:p>
    <w:p w14:paraId="3A01C799">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5.3.2 乙方凭收款对账单开具税率为13%的增值税专用发票（增值税率随国家政策变化而变更），甲方自收到增值税专用发票日起10个工作日内支付至乙方指定账户。</w:t>
      </w:r>
    </w:p>
    <w:p w14:paraId="71531916">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5.3.3 如双方对任何一期节能效益的部分存在争议，该部分的争议不影响对无争议部分的节能效益的分享和相应款项的支付。双方就争议部分本着友好协商的原则处理；协商不成可依法向</w:t>
      </w:r>
      <w:r>
        <w:rPr>
          <w:rFonts w:hint="eastAsia" w:ascii="仿宋" w:hAnsi="仿宋" w:eastAsia="仿宋" w:cs="宋体"/>
          <w:kern w:val="0"/>
          <w:sz w:val="28"/>
          <w:szCs w:val="28"/>
          <w:u w:val="single"/>
        </w:rPr>
        <w:t>甲方</w:t>
      </w:r>
      <w:r>
        <w:rPr>
          <w:rFonts w:ascii="仿宋" w:hAnsi="仿宋" w:eastAsia="仿宋" w:cs="宋体"/>
          <w:kern w:val="0"/>
          <w:sz w:val="28"/>
          <w:szCs w:val="28"/>
          <w:u w:val="single"/>
        </w:rPr>
        <w:t>住所地</w:t>
      </w:r>
      <w:r>
        <w:rPr>
          <w:rFonts w:hint="eastAsia" w:ascii="仿宋" w:hAnsi="仿宋" w:eastAsia="仿宋" w:cs="宋体"/>
          <w:kern w:val="0"/>
          <w:sz w:val="28"/>
          <w:szCs w:val="28"/>
        </w:rPr>
        <w:t>有管辖权的人民法院提起诉讼。</w:t>
      </w:r>
    </w:p>
    <w:p w14:paraId="1BF65F66">
      <w:pPr>
        <w:pStyle w:val="17"/>
        <w:spacing w:after="0" w:line="500" w:lineRule="exact"/>
        <w:outlineLvl w:val="0"/>
        <w:rPr>
          <w:rFonts w:hint="eastAsia" w:ascii="仿宋" w:hAnsi="仿宋" w:eastAsia="仿宋"/>
          <w:b/>
          <w:lang w:val="es-ES" w:eastAsia="zh-CN"/>
        </w:rPr>
      </w:pPr>
      <w:r>
        <w:rPr>
          <w:rFonts w:hint="eastAsia" w:ascii="仿宋" w:hAnsi="仿宋" w:eastAsia="仿宋"/>
          <w:b/>
          <w:lang w:val="es-ES" w:eastAsia="zh-CN"/>
        </w:rPr>
        <w:t>第六条 甲方的义务</w:t>
      </w:r>
    </w:p>
    <w:p w14:paraId="2BD00620">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6.1 甲方保证合法拥有光伏电站及与电站相关的所有设备所依附的建筑物（以下简称“建筑物”）及其全部附属屋顶的合法产权。</w:t>
      </w:r>
    </w:p>
    <w:p w14:paraId="4BB4021A">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6.2 甲方应协助乙方办理本项目实施所必需的政府的许可、电网接入批复等相关文件。</w:t>
      </w:r>
    </w:p>
    <w:p w14:paraId="0D3E8706">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6.3 甲方应向乙方提供必要的电气系统图、建筑结构图、生产负荷用电曲线等涉及施工设计的相关资料。纸质图纸至少提供一份，图纸应标注清晰，保证资料内容正确。设计完成后乙方应将图纸完整的归还给甲方。</w:t>
      </w:r>
    </w:p>
    <w:p w14:paraId="489CF3B8">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6.4 甲方应为乙方施工提供施工用水、用电（所发生的水、电费用按当地市政价格据实统计，由乙方负担，甲方应提供水电费发票或收据作为结算依据）、免费提供临时施工场地、免费提供箱变、逆变器的安装场地。上述场地应确保通风、干燥、无渗漏，且甲方不得以任何理由在合作期内收回或改作他用。</w:t>
      </w:r>
    </w:p>
    <w:p w14:paraId="3FABD6A0">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6.5 在电站并柜时能够按双方提前约定的时间及时停电，积极协助乙方完成电站并网。</w:t>
      </w:r>
    </w:p>
    <w:p w14:paraId="16E2CFD9">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6.6 甲方应为乙方在电站维护、巡视、修理等方面提供便利，保证乙方的雇员、工程师、代理人可进入项目建筑物并接触与本项目有关的设施和设备；并允许乙方对故障、受损、失效的项目设施和设备进行拆装、更换、运输。甲方应确保乙方人员在提前24小时通知的情况下可随时进入电站区域进行运维作业。紧急故障情况下，乙方可先行进入并事后补办通知手续。甲方不得阻碍乙方正常运维，如遇突发情况，甲方可应急处理。若因甲方阻挠导致设备故障扩大或发电量损失，扩大部分的损失或发电量损失应由甲方承担赔偿责任。</w:t>
      </w:r>
    </w:p>
    <w:p w14:paraId="500B3348">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6.7 甲方应协助乙方保护电站的设备及运行的安全，如设备发生故障、损坏和丢失，甲方应在得知此情况后及时通知乙方，配合乙方对设备发生的故障、损坏和丢失情况进行调查。</w:t>
      </w:r>
    </w:p>
    <w:p w14:paraId="4F3DFC5C">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6.8 甲方对本项目电站屋顶所属建筑物上的任何改造（包括但不限于新增、添设、拆除）均不得导致项目设施、设备（含线路）的故障、损害、遗失或无法充分地获得阳光。因甲方擅自改造，影响光伏组件光照、遮挡或增加阴影，导致乙方设备损坏或发电量损失的，甲方应承担全部赔偿责任。</w:t>
      </w:r>
    </w:p>
    <w:p w14:paraId="5F3462E2">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6.9 甲方保证严格遵照乙方提供的使用手册正确使用项目设施、设备（含线路），当项目设施、设备出现故障时应立即通知乙方，不得擅自进行维修。</w:t>
      </w:r>
    </w:p>
    <w:p w14:paraId="4A25C214">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6.10 甲方应当按照本协议的规定，在收到乙方提供的发票后及时向乙方付款。</w:t>
      </w:r>
    </w:p>
    <w:p w14:paraId="4533DF33">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6.11 甲方应当将其与项目有关的其内部规章制度和特殊安全规定要求及时提前书面告知乙方，以便乙方在设计时提前考虑设计方案。如未提供，乙方将视为无特殊要求，按国家相关设计标准进行设计。</w:t>
      </w:r>
    </w:p>
    <w:p w14:paraId="4DFBB443">
      <w:pPr>
        <w:pStyle w:val="17"/>
        <w:spacing w:after="0" w:line="500" w:lineRule="exact"/>
        <w:outlineLvl w:val="0"/>
        <w:rPr>
          <w:rFonts w:hint="eastAsia" w:ascii="仿宋" w:hAnsi="仿宋" w:eastAsia="仿宋"/>
          <w:b/>
          <w:lang w:val="es-ES" w:eastAsia="zh-CN"/>
        </w:rPr>
      </w:pPr>
      <w:r>
        <w:rPr>
          <w:rFonts w:hint="eastAsia" w:ascii="仿宋" w:hAnsi="仿宋" w:eastAsia="仿宋"/>
          <w:b/>
          <w:lang w:val="es-ES" w:eastAsia="zh-CN"/>
        </w:rPr>
        <w:t>第七条 乙方的义务</w:t>
      </w:r>
    </w:p>
    <w:p w14:paraId="556ECAB3">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7.1 乙方负责办理本项目电站实施所必需的各级政府许可、电网接入批复等相关文件，并承担由此而产生的相关费用。</w:t>
      </w:r>
    </w:p>
    <w:p w14:paraId="4CFBC14F">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7.2 乙方应当确保其工作人员和其聘请的第三方严格遵守甲方有关施工场地安全和卫生等方面的规定，并听从甲方合理的现场指挥，遵守甲方相关管理要求，执行甲方相关管理流程。</w:t>
      </w:r>
    </w:p>
    <w:p w14:paraId="0AE52C4B">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7.3 乙方可免费对甲方指派的人员进行适当的培训，以使其能了解设施的基本原理。</w:t>
      </w:r>
    </w:p>
    <w:p w14:paraId="1A877848">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7.4 电站设备的安装和调试应符合国家、行业或企业有关施工管理条例和与项目相对应的技术标准规范要求以及甲方合理的施工、管理要求。</w:t>
      </w:r>
    </w:p>
    <w:p w14:paraId="41DBDD0A">
      <w:pPr>
        <w:autoSpaceDE w:val="0"/>
        <w:autoSpaceDN w:val="0"/>
        <w:adjustRightInd w:val="0"/>
        <w:spacing w:line="500" w:lineRule="exact"/>
        <w:ind w:firstLine="560" w:firstLineChars="200"/>
        <w:rPr>
          <w:rFonts w:hint="eastAsia" w:ascii="仿宋" w:hAnsi="仿宋" w:eastAsia="仿宋" w:cs="宋体"/>
          <w:strike/>
          <w:kern w:val="0"/>
          <w:sz w:val="28"/>
          <w:szCs w:val="28"/>
        </w:rPr>
      </w:pPr>
      <w:r>
        <w:rPr>
          <w:rFonts w:hint="eastAsia" w:ascii="仿宋" w:hAnsi="仿宋" w:eastAsia="仿宋" w:cs="宋体"/>
          <w:kern w:val="0"/>
          <w:sz w:val="28"/>
          <w:szCs w:val="28"/>
        </w:rPr>
        <w:t>7.5 在接到甲方关于电站运行故障的通知后，乙方应在</w:t>
      </w:r>
      <w:r>
        <w:rPr>
          <w:rFonts w:hint="eastAsia" w:ascii="仿宋" w:hAnsi="仿宋" w:eastAsia="仿宋" w:cs="宋体"/>
          <w:kern w:val="0"/>
          <w:sz w:val="28"/>
          <w:szCs w:val="28"/>
          <w:u w:val="single"/>
        </w:rPr>
        <w:t>12</w:t>
      </w:r>
      <w:r>
        <w:rPr>
          <w:rFonts w:hint="eastAsia" w:ascii="仿宋" w:hAnsi="仿宋" w:eastAsia="仿宋" w:cs="宋体"/>
          <w:kern w:val="0"/>
          <w:sz w:val="28"/>
          <w:szCs w:val="28"/>
        </w:rPr>
        <w:t>小时内响应，</w:t>
      </w:r>
      <w:r>
        <w:rPr>
          <w:rFonts w:hint="eastAsia" w:ascii="仿宋" w:hAnsi="仿宋" w:eastAsia="仿宋" w:cs="宋体"/>
          <w:kern w:val="0"/>
          <w:sz w:val="28"/>
          <w:szCs w:val="28"/>
          <w:u w:val="single"/>
        </w:rPr>
        <w:t>24</w:t>
      </w:r>
      <w:r>
        <w:rPr>
          <w:rFonts w:hint="eastAsia" w:ascii="仿宋" w:hAnsi="仿宋" w:eastAsia="仿宋" w:cs="宋体"/>
          <w:kern w:val="0"/>
          <w:sz w:val="28"/>
          <w:szCs w:val="28"/>
        </w:rPr>
        <w:t>小时内到达现场处理。一般故障（如逆变器告警、通信中断）应在</w:t>
      </w:r>
      <w:r>
        <w:rPr>
          <w:rFonts w:hint="eastAsia" w:ascii="仿宋" w:hAnsi="仿宋" w:eastAsia="仿宋" w:cs="宋体"/>
          <w:kern w:val="0"/>
          <w:sz w:val="28"/>
          <w:szCs w:val="28"/>
          <w:u w:val="single"/>
        </w:rPr>
        <w:t>48</w:t>
      </w:r>
      <w:r>
        <w:rPr>
          <w:rFonts w:hint="eastAsia" w:ascii="仿宋" w:hAnsi="仿宋" w:eastAsia="仿宋" w:cs="宋体"/>
          <w:kern w:val="0"/>
          <w:sz w:val="28"/>
          <w:szCs w:val="28"/>
        </w:rPr>
        <w:t>小时内修复；严重故障（如组件脱落、电缆烧毁、火灾隐患）应在</w:t>
      </w:r>
      <w:r>
        <w:rPr>
          <w:rFonts w:hint="eastAsia" w:ascii="仿宋" w:hAnsi="仿宋" w:eastAsia="仿宋" w:cs="宋体"/>
          <w:kern w:val="0"/>
          <w:sz w:val="28"/>
          <w:szCs w:val="28"/>
          <w:u w:val="single"/>
        </w:rPr>
        <w:t>72</w:t>
      </w:r>
      <w:r>
        <w:rPr>
          <w:rFonts w:hint="eastAsia" w:ascii="仿宋" w:hAnsi="仿宋" w:eastAsia="仿宋" w:cs="宋体"/>
          <w:kern w:val="0"/>
          <w:sz w:val="28"/>
          <w:szCs w:val="28"/>
        </w:rPr>
        <w:t>小时内采取隔离措施并启动抢修。乙方应建立</w:t>
      </w:r>
      <w:r>
        <w:rPr>
          <w:rFonts w:hint="eastAsia" w:ascii="仿宋" w:hAnsi="仿宋" w:eastAsia="仿宋" w:cs="宋体"/>
          <w:kern w:val="0"/>
          <w:sz w:val="28"/>
          <w:szCs w:val="28"/>
          <w:u w:val="single"/>
        </w:rPr>
        <w:t>24</w:t>
      </w:r>
      <w:r>
        <w:rPr>
          <w:rFonts w:hint="eastAsia" w:ascii="仿宋" w:hAnsi="仿宋" w:eastAsia="仿宋" w:cs="宋体"/>
          <w:kern w:val="0"/>
          <w:sz w:val="28"/>
          <w:szCs w:val="28"/>
        </w:rPr>
        <w:t>小时值班电话并向甲方公布。因乙方原因导致故障处理延迟，每延迟24小时，甲方有权扣除当月500元/天电费；因甲方原因导致故障处理延迟，每延迟24小时，乙方有权要求甲方赔偿500元/天的电量损失。</w:t>
      </w:r>
    </w:p>
    <w:p w14:paraId="19BAD023">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7.6 项目建成后负责定期检查项目的设备、设施，建立健全电站的运行维护管理制度，并严格执行。</w:t>
      </w:r>
    </w:p>
    <w:p w14:paraId="3351D72B">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7.7 电站建成后，在合同期，电站的检修、维护和故障修理及所发生的费用全部由乙方负责，如该故障系因甲方过失或甲方故意人为导致的，甲方应赔偿由此带来的直接经济损失和电量损失。</w:t>
      </w:r>
    </w:p>
    <w:p w14:paraId="6D2C83C3">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7.8 乙方应当确保其工作人员或者其聘请的第三方在电站建设、运行的整个过程中遵守相关法律法规，以及甲方的相关规章制度。</w:t>
      </w:r>
    </w:p>
    <w:p w14:paraId="5812B239">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7.9 乙方在电站建设中，因安装需要对屋顶进行的钻孔、打眼等工作造成屋面损坏漏水、渗水时，乙方应负责进行修复，所发生费用由乙方承担（不包括原有屋顶已经损坏无法安装光伏组件，只能更换的屋面）；建设完成后，甲乙双方应共同对屋面进行验收确认。乙方对电站建设损坏的屋顶修复部分，从甲乙双方共同验收之日起提供5年防水质保。</w:t>
      </w:r>
    </w:p>
    <w:p w14:paraId="342D486A">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项目开工前，甲乙双方共同对屋面进行检查，确定屋面破损情况，已损坏的屋面由甲方负责修复；项目竣工验收后，屋面正常的维修、养护及发生的费用由甲方负责。</w:t>
      </w:r>
    </w:p>
    <w:p w14:paraId="53CA0A13">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因乙方项目建设、运维导致甲方建筑物和财物损坏或人员伤亡的，由乙方赔偿甲方的直接经济损失。</w:t>
      </w:r>
    </w:p>
    <w:p w14:paraId="27C4361C">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因甲方维修屋面导致乙方发电量受损，甲方应赔偿乙方电量损失。甲方维修屋面需要乙方配合拆除光伏组件、支架，乙方应配合拆除及恢复组件、支架及附属设施设备，由此产生的费用应由甲方承担。</w:t>
      </w:r>
    </w:p>
    <w:p w14:paraId="628E64E6">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7.11 系统的接入性能应满足南方电网公司《光伏电站接入电网技术规定》（试行）要求，保证甲方用户侧电气设备的安全运行；系统应设置足够的防雷设施，防止雷电感应及雷电波侵入对用户侧电气设备造成危害。</w:t>
      </w:r>
    </w:p>
    <w:p w14:paraId="550395C4">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7.12 在乙方完成项目竣工验收后五日内甲方应对验收情况进行确认，以明确在该项目施工过程中乙方是否给甲方的设备、屋面造成损坏</w:t>
      </w:r>
      <w:r>
        <w:rPr>
          <w:rFonts w:hint="eastAsia" w:ascii="仿宋" w:hAnsi="仿宋" w:eastAsia="仿宋"/>
          <w:sz w:val="28"/>
          <w:szCs w:val="28"/>
        </w:rPr>
        <w:t>。项目投产运营后，原则上每年双方共同组织一次屋面检查，以确认是否存在因乙方负责的运维过程中产生的屋面损伤（但不包括屋面材料的自然老化等问题）。因乙方责任而产生的屋面损坏由乙方负责修复。</w:t>
      </w:r>
    </w:p>
    <w:p w14:paraId="1664B6A0">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7.13 乙方应保证与项目相关的设备、设施的运行符合国家法律法规及产业政策要求，保证与项目相关的设备、设施连续稳定运行且运行状况良好。</w:t>
      </w:r>
    </w:p>
    <w:p w14:paraId="281307C6">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7.14 乙方对房屋屋面的装修、改善、增设他物等添附物归乙方所有，乙方有权处置，但不得损坏甲方房屋原有的结构、装饰和安全性，否则甲方有权要求乙方承担赔偿责任。乙方在实施上述行为前应提前10个工作日书面通知甲方，甲方无正当理由不得拒绝。若甲方认为可能影响房屋安全，应在收到通知后5个工作日内提供书面依据（如结构安全鉴定报告），否则视为同意。</w:t>
      </w:r>
    </w:p>
    <w:p w14:paraId="604E919A">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7.15 电站须按照国家规定安装计量电表，乙方配电箱安装在甲乙双方商定的位置。</w:t>
      </w:r>
    </w:p>
    <w:p w14:paraId="52B7CD71">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7.16 乙方需无条件服从甲方园区的安全生产管理制度，在项目建设及运营期间，乙方需为施工及运维人员投保足额的保险，乙方的施工及运维人员的所有安全问题，均由乙方自行负责，若因乙方人员发生安全事故导致甲方损失的，由乙方承担甲方的直接经济损失。</w:t>
      </w:r>
    </w:p>
    <w:p w14:paraId="3641992E">
      <w:pPr>
        <w:widowControl/>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lang w:bidi="ar"/>
        </w:rPr>
        <w:t>7.18 乙方发电保障义务：项目效益分享期内，剔除不可抗力、电网调度限发、连续极端阴雨等免责电量后，项目</w:t>
      </w:r>
      <w:r>
        <w:rPr>
          <w:rFonts w:hint="eastAsia" w:ascii="仿宋" w:hAnsi="仿宋" w:eastAsia="仿宋"/>
          <w:sz w:val="28"/>
          <w:szCs w:val="28"/>
        </w:rPr>
        <w:t>年度发电量</w:t>
      </w:r>
      <w:r>
        <w:rPr>
          <w:rFonts w:hint="eastAsia" w:ascii="仿宋" w:hAnsi="仿宋" w:eastAsia="仿宋" w:cs="宋体"/>
          <w:kern w:val="0"/>
          <w:sz w:val="28"/>
          <w:szCs w:val="28"/>
          <w:lang w:bidi="ar"/>
        </w:rPr>
        <w:t>的衰减率首年不高于2%、逐年不高于0.5%，项目的系统效率不低于80%。否则，乙方应在三个月内整改恢复，</w:t>
      </w:r>
      <w:r>
        <w:rPr>
          <w:rFonts w:hint="eastAsia" w:ascii="仿宋" w:hAnsi="仿宋" w:eastAsia="仿宋" w:cs="宋体"/>
          <w:kern w:val="0"/>
          <w:sz w:val="28"/>
          <w:szCs w:val="28"/>
        </w:rPr>
        <w:t>所发生费用由乙方承担，</w:t>
      </w:r>
      <w:r>
        <w:rPr>
          <w:rFonts w:hint="eastAsia" w:ascii="仿宋" w:hAnsi="仿宋" w:eastAsia="仿宋"/>
          <w:sz w:val="28"/>
          <w:szCs w:val="28"/>
        </w:rPr>
        <w:t>因乙方延误造成甲方产生的直接经济损失由乙方赔偿</w:t>
      </w:r>
      <w:r>
        <w:rPr>
          <w:rFonts w:hint="eastAsia" w:ascii="仿宋" w:hAnsi="仿宋" w:eastAsia="仿宋" w:cs="宋体"/>
          <w:kern w:val="0"/>
          <w:sz w:val="28"/>
          <w:szCs w:val="28"/>
          <w:lang w:bidi="ar"/>
        </w:rPr>
        <w:t>，包括但不限于下列情形产生的发电量缺口不计入乙方发电量的衰减统计：（1）甲方厂房及周边改扩建、新增构筑物/绿植长期遮挡光伏组件；（2）甲方长期停产、减产、园区负荷大幅下滑；（3）甲方无故阻挠乙方运维、拒绝配合停电检修导致停机；（4）政府有序用电、电网检修强制限发；（5）台风、连续阴雨、极端低温等超出可研气象标准的极端天气；（6）甲方擅自改造屋面、管线造成组件遮挡、设备损坏。</w:t>
      </w:r>
    </w:p>
    <w:p w14:paraId="1527A84A">
      <w:pPr>
        <w:autoSpaceDE w:val="0"/>
        <w:autoSpaceDN w:val="0"/>
        <w:adjustRightInd w:val="0"/>
        <w:spacing w:line="500" w:lineRule="exact"/>
        <w:rPr>
          <w:rFonts w:hint="eastAsia" w:ascii="仿宋" w:hAnsi="仿宋" w:eastAsia="仿宋"/>
          <w:b/>
          <w:lang w:val="es-ES"/>
        </w:rPr>
      </w:pPr>
      <w:r>
        <w:rPr>
          <w:rFonts w:hint="eastAsia" w:ascii="仿宋" w:hAnsi="仿宋" w:eastAsia="仿宋"/>
          <w:b/>
          <w:sz w:val="28"/>
          <w:szCs w:val="28"/>
          <w:lang w:val="es-ES"/>
        </w:rPr>
        <w:t>第八条 项目的更改</w:t>
      </w:r>
    </w:p>
    <w:p w14:paraId="2D6FED7C">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8.1 如在项目的建设期间出现乙方无法预料的情况，从而导致原有项目方案需要修改时，则乙方应预先将修改后的项目方案提交甲方，并经甲方书面同意后由乙方实施修改的方案，修改方案不得对甲方造成不利影响。不利影响包括但不限于抬高甲方用电成本、影响甲方建筑物安全、缩短项目使用寿命。</w:t>
      </w:r>
    </w:p>
    <w:p w14:paraId="39F67647">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8.2 在合同期内，乙方有权为优化项目方案、对项目进行改造，包括但不限于对相关设备或设施进行添加、替换、去除、改造，或者是对相关操作、维护程序和方法进行修改，所有的改造费用由乙方承担。就前述行为乙方应当预先将项目改造方案告知甲方，甲方收到通知后五日内如无异议，乙方将进行改造；如该改造可能影响甲方用电稳定性、建筑物安全或导致甲方用电成本上涨的，甲方有权提出异议，乙方不得擅自实施。</w:t>
      </w:r>
    </w:p>
    <w:p w14:paraId="3F245F87">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8.3 在合同期内，如为屋顶补漏等原因，甲方需拆除、更换、更改、添加或移动现有设备、设施等，甲方应事先书面通知乙方并经乙方书面同意，以便双方共同协调，将对乙方产生的不利影响降到最小。若由此产生光伏板拆装和电量损失等相关费用，甲方需补偿相应费用，具体补偿方式和金额由双方协商。</w:t>
      </w:r>
    </w:p>
    <w:p w14:paraId="7171A0CC">
      <w:pPr>
        <w:pStyle w:val="17"/>
        <w:spacing w:after="0" w:line="500" w:lineRule="exact"/>
        <w:outlineLvl w:val="0"/>
        <w:rPr>
          <w:rFonts w:hint="eastAsia" w:ascii="仿宋" w:hAnsi="仿宋" w:eastAsia="仿宋"/>
          <w:b/>
          <w:lang w:val="es-ES" w:eastAsia="zh-CN"/>
        </w:rPr>
      </w:pPr>
      <w:r>
        <w:rPr>
          <w:rFonts w:hint="eastAsia" w:ascii="仿宋" w:hAnsi="仿宋" w:eastAsia="仿宋"/>
          <w:b/>
          <w:lang w:val="es-ES" w:eastAsia="zh-CN"/>
        </w:rPr>
        <w:t>第九条 资产所有权及风险分担</w:t>
      </w:r>
    </w:p>
    <w:p w14:paraId="2F329B63">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 xml:space="preserve">9.l 本项目下的所有由乙方采购并安装的设备、设施和仪器仪表（含线路）等固定资产（简称“项目资产”）的所有权属于乙方。 </w:t>
      </w:r>
    </w:p>
    <w:p w14:paraId="437FE062">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9.2 本协议提前解除或自然届满履行完毕后，项目资产所有权仍归乙方所有。乙方在应当协议解除或者履行期限届满之日起90日内完成设备拆除及现场复原，拆除费用由乙方承担。若甲方希望保留项目资产继续使用，应提前30日书面提出，并按设备届时账面残值或双方认可的第三方评估价值向乙方支付对价，乙方按照国有资产处置的相关要求向乙方转移资产。若乙方逾期未完成拆除工作及恢复原状工作，视为乙方自认为未拆迁部分设备设施为无价值的遗弃物，甲方有权自行或者委托第三方处置及恢复原状，产生的费用由乙方承担。</w:t>
      </w:r>
    </w:p>
    <w:p w14:paraId="1BCFEB04">
      <w:pPr>
        <w:pStyle w:val="17"/>
        <w:spacing w:after="0" w:line="500" w:lineRule="exact"/>
        <w:outlineLvl w:val="0"/>
        <w:rPr>
          <w:rFonts w:hint="eastAsia" w:ascii="仿宋" w:hAnsi="仿宋" w:eastAsia="仿宋"/>
          <w:b/>
          <w:lang w:val="es-ES" w:eastAsia="zh-CN"/>
        </w:rPr>
      </w:pPr>
      <w:r>
        <w:rPr>
          <w:rFonts w:hint="eastAsia" w:ascii="仿宋" w:hAnsi="仿宋" w:eastAsia="仿宋"/>
          <w:b/>
          <w:lang w:val="es-ES" w:eastAsia="zh-CN"/>
        </w:rPr>
        <w:t>第十条 承诺和保证</w:t>
      </w:r>
    </w:p>
    <w:p w14:paraId="1277C303">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10.1 在项目效益分享期内，乙方承诺对项目资产的转让、赠予、出租、抵押（无论是整体性的亦或是部分的）不得实际减损本协议任何一方的权利、义务或导致本协议事实上无法得到履行。项目资产的所有权变更必须与本协议主体的变更一并发生方为有效。</w:t>
      </w:r>
    </w:p>
    <w:p w14:paraId="1780F34E">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10.2 在项目效益分享期内，甲方承诺对承载项目的建筑物（含屋顶或光伏建设用地）进行赠予、转让、出租、抵押（无论是整体性的亦或是部分的），亦不得实际减损本协议任何一方的权利、义务或导致本协议事实上无法得到履行。甲方建筑物所有权的转移应以本协议的权利、义务一并随之发生转移方为有效。</w:t>
      </w:r>
    </w:p>
    <w:p w14:paraId="3C0B8947">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乙方承诺对项目进行赠予、转让、出租、抵押（无论是整体性的亦或是部分的），亦不得实际减损本协议任何一方的权利、义务或导致本协议事实上无法得到履行。乙方项目所有权的转移应以本协议的权利、义务一并随之发生转移方为有效。</w:t>
      </w:r>
    </w:p>
    <w:p w14:paraId="4902A711">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10.3 甲、乙双方承诺在项目效益分享期内其任何分立、合并、重整，本协议有关权利、义务应完全适用于其分立、合并、重整后的有效法定承继主体。</w:t>
      </w:r>
    </w:p>
    <w:p w14:paraId="05D005B4">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10.4 项目效益分享期内，项目资产、本协议的转让不移除乙方对项目设备、设施的质保期内的质保责任。</w:t>
      </w:r>
    </w:p>
    <w:p w14:paraId="18778BA8">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10.5 为推进项目开发运营，乙方可针对此项目注册新的项目公司，在项目建设完成并网发电后，乙方向新项目公司转让本协议相关的权利和义务。乙方转让本协议权利和义务时，应提前30日书面通知甲方。甲方无正当理由不得拒绝配合签署转让协议。若甲方无故拒绝，乙方有权单方面终止本协议且不承担违约责任。</w:t>
      </w:r>
    </w:p>
    <w:p w14:paraId="3D356786">
      <w:pPr>
        <w:pStyle w:val="17"/>
        <w:spacing w:after="0" w:line="500" w:lineRule="exact"/>
        <w:outlineLvl w:val="0"/>
        <w:rPr>
          <w:rFonts w:hint="eastAsia" w:ascii="仿宋" w:hAnsi="仿宋" w:eastAsia="仿宋"/>
          <w:b/>
          <w:lang w:val="es-ES" w:eastAsia="zh-CN"/>
        </w:rPr>
      </w:pPr>
      <w:r>
        <w:rPr>
          <w:rFonts w:hint="eastAsia" w:ascii="仿宋" w:hAnsi="仿宋" w:eastAsia="仿宋"/>
          <w:b/>
          <w:lang w:val="es-ES" w:eastAsia="zh-CN"/>
        </w:rPr>
        <w:t>第十一条 违约责任</w:t>
      </w:r>
    </w:p>
    <w:p w14:paraId="44D16210">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11.1 如甲方未按照本协议的规定在收到乙方提供的发票后未及时向乙方支付款项，</w:t>
      </w:r>
      <w:r>
        <w:rPr>
          <w:rFonts w:ascii="仿宋" w:hAnsi="仿宋" w:eastAsia="仿宋" w:cs="宋体"/>
          <w:kern w:val="0"/>
          <w:sz w:val="28"/>
          <w:szCs w:val="28"/>
        </w:rPr>
        <w:t>经</w:t>
      </w:r>
      <w:r>
        <w:rPr>
          <w:rFonts w:hint="eastAsia" w:ascii="仿宋" w:hAnsi="仿宋" w:eastAsia="仿宋" w:cs="宋体"/>
          <w:kern w:val="0"/>
          <w:sz w:val="28"/>
          <w:szCs w:val="28"/>
        </w:rPr>
        <w:t>乙方</w:t>
      </w:r>
      <w:r>
        <w:rPr>
          <w:rFonts w:ascii="仿宋" w:hAnsi="仿宋" w:eastAsia="仿宋" w:cs="宋体"/>
          <w:kern w:val="0"/>
          <w:sz w:val="28"/>
          <w:szCs w:val="28"/>
        </w:rPr>
        <w:t>催告，</w:t>
      </w:r>
      <w:r>
        <w:rPr>
          <w:rFonts w:hint="eastAsia" w:ascii="仿宋" w:hAnsi="仿宋" w:eastAsia="仿宋" w:cs="宋体"/>
          <w:kern w:val="0"/>
          <w:sz w:val="28"/>
          <w:szCs w:val="28"/>
        </w:rPr>
        <w:t>甲方在</w:t>
      </w:r>
      <w:r>
        <w:rPr>
          <w:rFonts w:ascii="仿宋" w:hAnsi="仿宋" w:eastAsia="仿宋" w:cs="宋体"/>
          <w:kern w:val="0"/>
          <w:sz w:val="28"/>
          <w:szCs w:val="28"/>
        </w:rPr>
        <w:t>60个自然日内仍不履行付款义务</w:t>
      </w:r>
      <w:r>
        <w:rPr>
          <w:rFonts w:hint="eastAsia" w:ascii="仿宋" w:hAnsi="仿宋" w:eastAsia="仿宋" w:cs="宋体"/>
          <w:kern w:val="0"/>
          <w:sz w:val="28"/>
          <w:szCs w:val="28"/>
        </w:rPr>
        <w:t>，则每天按应付款项的0.1%向乙方支付违约金，且违约金总额最高不超过该期应付未付款项的</w:t>
      </w:r>
      <w:r>
        <w:rPr>
          <w:rFonts w:hint="eastAsia" w:ascii="仿宋" w:hAnsi="仿宋" w:eastAsia="仿宋" w:cs="宋体"/>
          <w:kern w:val="0"/>
          <w:sz w:val="28"/>
          <w:szCs w:val="28"/>
          <w:lang w:val="en-US" w:eastAsia="zh-CN"/>
        </w:rPr>
        <w:t>5</w:t>
      </w:r>
      <w:r>
        <w:rPr>
          <w:rFonts w:hint="eastAsia" w:ascii="仿宋" w:hAnsi="仿宋" w:eastAsia="仿宋" w:cs="宋体"/>
          <w:kern w:val="0"/>
          <w:sz w:val="28"/>
          <w:szCs w:val="28"/>
        </w:rPr>
        <w:t>%。</w:t>
      </w:r>
    </w:p>
    <w:p w14:paraId="2FABC63F">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11.2 一方违约后，另一方应采取适当措施，防止损失的扩大，否则不能就扩大部分的损失要求赔偿。</w:t>
      </w:r>
    </w:p>
    <w:p w14:paraId="6BE12ED5">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11.3 双方同意除本协议明确约定的违约金外，任何一方均仅就自身的违约行为对他方的直接损失承担赔偿责任。任何一方均不得向他方主张任何间接、牵连性的损失。</w:t>
      </w:r>
    </w:p>
    <w:p w14:paraId="38CE9A50">
      <w:pPr>
        <w:pStyle w:val="17"/>
        <w:spacing w:after="0" w:line="500" w:lineRule="exact"/>
        <w:outlineLvl w:val="0"/>
        <w:rPr>
          <w:rFonts w:hint="eastAsia" w:ascii="仿宋" w:hAnsi="仿宋" w:eastAsia="仿宋"/>
          <w:b/>
          <w:lang w:val="es-ES" w:eastAsia="zh-CN"/>
        </w:rPr>
      </w:pPr>
      <w:r>
        <w:rPr>
          <w:rFonts w:hint="eastAsia" w:ascii="仿宋" w:hAnsi="仿宋" w:eastAsia="仿宋"/>
          <w:b/>
          <w:lang w:val="es-ES" w:eastAsia="zh-CN"/>
        </w:rPr>
        <w:t>第十二条 不可抗力</w:t>
      </w:r>
    </w:p>
    <w:p w14:paraId="6902CF7E">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12.1 本协议不可抗力的定义是指超出了相关方合理控制范围的任何行为、事件或原因，包括但不限于：</w:t>
      </w:r>
    </w:p>
    <w:p w14:paraId="2BDF0C36">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12.1.1 雷电、洪水、风暴、地震、滑坡、暴雨、泥石流等自然灾害、海上危险、航行事故、战争、骚乱、暴动、全国紧急状态（无论是实际情况或法律规定的情况）、戒严令、火灾或劳工纠纷（无论是否涉及相关方的雇员）、流行病、隔离、辐射或放射性污染等；</w:t>
      </w:r>
    </w:p>
    <w:p w14:paraId="26E43BA0">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12.2.2 任何政府单位或非政府单位或其它主管部门（包括任何有管辖权的法院或仲裁庭以及国际机构）的行动，包括但不限于法律、法规、规章或其他有法律强制约束力的法案所规定的没收、约束、禁止、干预、征用、征收、强拆、要求、指示或禁运等。</w:t>
      </w:r>
    </w:p>
    <w:p w14:paraId="78891A6B">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12.2.3 不可抗力不包括任何一方资金短缺、融资困难、供应链中断、市场价格波动等商业风险。</w:t>
      </w:r>
    </w:p>
    <w:p w14:paraId="1CD031F5">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12.2 如果一方（“受影响方”）由于不可抗力事件的发生，无法履行协议下的义务，受影响方就必须在知晓不可抗力的有关事件的五日内向另一方（“非影响方”）提交书面通知，提供不可抗力事件的细节。</w:t>
      </w:r>
    </w:p>
    <w:p w14:paraId="7A194CC2">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12.3 受影响方必须采取一切合理的措施，以消除或减轻不可抗力事件有关的影响。</w:t>
      </w:r>
    </w:p>
    <w:p w14:paraId="37A296A1">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12.4 在不可抗力事件持续期间受影响方的履行义务暂时中止，相应的义务履行期限相应顺延，受影响方不应承担相应责任。在不可抗力事件结束后，受影响方应该尽快恢复履行本协议下的义务。</w:t>
      </w:r>
    </w:p>
    <w:p w14:paraId="7379648B">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12.5 如果因为不可抗力事件的影响，受影响方不能履行本协议项下的任何义务，而且非影响方在收到不可抗力通知后，受影响方的不能履行义务持续时间达六十个连续日，且在此期间，双方没有能够谈判达成一项彼此可以接受的替代方式来执行本协议下的项目，任何一方可向另一方提供书面通知，解除或者部分解除本协议相关项目，而不用承担任何责任。</w:t>
      </w:r>
    </w:p>
    <w:p w14:paraId="13132255">
      <w:pPr>
        <w:pStyle w:val="17"/>
        <w:spacing w:after="0" w:line="500" w:lineRule="exact"/>
        <w:outlineLvl w:val="0"/>
        <w:rPr>
          <w:rFonts w:hint="eastAsia" w:ascii="仿宋" w:hAnsi="仿宋" w:eastAsia="仿宋"/>
          <w:b/>
          <w:lang w:val="es-ES" w:eastAsia="zh-CN"/>
        </w:rPr>
      </w:pPr>
      <w:r>
        <w:rPr>
          <w:rFonts w:hint="eastAsia" w:ascii="仿宋" w:hAnsi="仿宋" w:eastAsia="仿宋"/>
          <w:b/>
          <w:lang w:val="es-ES" w:eastAsia="zh-CN"/>
        </w:rPr>
        <w:t>第十三条 合同解除</w:t>
      </w:r>
    </w:p>
    <w:p w14:paraId="6018D7D7">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13.1 本协议可经由甲乙双方协商一致后书面解除。</w:t>
      </w:r>
    </w:p>
    <w:p w14:paraId="341D3F74">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13.2 本协议可依照第12.5条（不可抗力）的规定解除。</w:t>
      </w:r>
    </w:p>
    <w:p w14:paraId="611811A4">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13.3 本协议可依照第3.4条的规定单方解除。</w:t>
      </w:r>
    </w:p>
    <w:p w14:paraId="7369ABDF">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13.4 如发生上述13.1-13.3规定的情形，则一方向另一方发出书面解除协议通知，书面解除协议通知自发出后十个工作日内本协议即被视为解除。</w:t>
      </w:r>
    </w:p>
    <w:p w14:paraId="37F38E69">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13.5 本项目协议解除或部分解除后，除本协议另有约定外，相关的项目应停止实施，项目资产由乙方负责拆除、取回，拆除费用和项目现场恢复的费用由违约方承担。拆除过程中甲方应对乙方提供合理的协助。</w:t>
      </w:r>
    </w:p>
    <w:p w14:paraId="75805644">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13.6 如非因任何一方违约而是经双方协商一致解除协议的，除本协议另有约定外，则乙方承担拆除费用并负责现场恢复，拆除过程中甲方应对乙方提供合理的协助。</w:t>
      </w:r>
    </w:p>
    <w:p w14:paraId="22791376">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13.7 若乙方未按第四条第4.1款所约定期限完成项目的建设并网发电，甲方可给予乙方30天的宽限期，若乙方在该宽限期内仍然未能完成建设并网发电，甲方可在合作期首年减免电费5万元。若因乙方自身资金、施工、设备采购原因，未能在本协议生效且</w:t>
      </w:r>
      <w:r>
        <w:rPr>
          <w:rFonts w:hint="eastAsia" w:ascii="仿宋" w:hAnsi="仿宋" w:eastAsia="仿宋"/>
          <w:kern w:val="0"/>
          <w:sz w:val="28"/>
          <w:szCs w:val="28"/>
        </w:rPr>
        <w:t>甲方完成全部配合义务、具备完整开工条件之日起</w:t>
      </w:r>
      <w:r>
        <w:rPr>
          <w:rFonts w:hint="eastAsia" w:ascii="仿宋" w:hAnsi="仿宋" w:eastAsia="仿宋" w:cs="宋体"/>
          <w:kern w:val="0"/>
          <w:sz w:val="28"/>
          <w:szCs w:val="28"/>
        </w:rPr>
        <w:t>4</w:t>
      </w:r>
      <w:r>
        <w:rPr>
          <w:rFonts w:hint="eastAsia" w:ascii="仿宋" w:hAnsi="仿宋" w:eastAsia="仿宋"/>
          <w:kern w:val="0"/>
          <w:sz w:val="28"/>
          <w:szCs w:val="28"/>
        </w:rPr>
        <w:t>个月内</w:t>
      </w:r>
      <w:r>
        <w:rPr>
          <w:rFonts w:hint="eastAsia" w:ascii="仿宋" w:hAnsi="仿宋" w:eastAsia="仿宋" w:cs="宋体"/>
          <w:kern w:val="0"/>
          <w:sz w:val="28"/>
          <w:szCs w:val="28"/>
        </w:rPr>
        <w:t>完成项目并网，甲方可给予乙方30日书面宽限期；宽限期届满仍未并网，甲方有权单方解除本协议。出现下列情形导致工期延误的，工期相应顺延，乙方不承担任何逾期违约责任，甲方无权据此解除合同：（1）甲方未能按时提供合法有效的屋顶产权证明、建筑图纸、配电图纸等报批资料；（2）甲方未腾空施工场地、拒不配合停电、阻挠进场施工；（3）甲方提出设计变更、屋顶改造要求；（4）电网公司接入批复、政府规划/环评/用地审批流程超时（5）台风、暴雨、疫情、政府管控、征地拆迁等不可抗力；（6）甲方厂区消防、安全整改导致无法施工。</w:t>
      </w:r>
    </w:p>
    <w:p w14:paraId="5836DBEB">
      <w:pPr>
        <w:pStyle w:val="17"/>
        <w:spacing w:after="0" w:line="500" w:lineRule="exact"/>
        <w:outlineLvl w:val="0"/>
        <w:rPr>
          <w:rFonts w:hint="eastAsia" w:ascii="仿宋" w:hAnsi="仿宋" w:eastAsia="仿宋"/>
          <w:b/>
          <w:lang w:val="es-ES" w:eastAsia="zh-CN"/>
        </w:rPr>
      </w:pPr>
      <w:r>
        <w:rPr>
          <w:rFonts w:hint="eastAsia" w:ascii="仿宋" w:hAnsi="仿宋" w:eastAsia="仿宋"/>
          <w:b/>
          <w:lang w:val="es-ES" w:eastAsia="zh-CN"/>
        </w:rPr>
        <w:t>第十四条 其它</w:t>
      </w:r>
    </w:p>
    <w:p w14:paraId="4B9FB377">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14.1 人身和财产损害和赔偿</w:t>
      </w:r>
    </w:p>
    <w:p w14:paraId="48B4C80D">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14.1.1 如果在履行本协议的过程中，因一方的工作人员或受其指派的第三方人员（“侵权方”）的故意或者是过失而导致另一方的工作人员、或者是任何第三方的人身或者是财产损害，侵权方应当为此负责。如果另一方因此受到其工作人员或者是该第三方的赔偿请求，则侵权方应当负责为另一方抗辩，并赔偿另一方由此而产生的所有费用和损失。</w:t>
      </w:r>
    </w:p>
    <w:p w14:paraId="5A6B832C">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14.1.2 受损害或伤害的一方对损害或伤害的发生也有过错时，应当根据其过错程度承担相应的责任，并适当减轻造成损害或伤害一方的责任。</w:t>
      </w:r>
    </w:p>
    <w:p w14:paraId="699410C3">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14.2 保险</w:t>
      </w:r>
    </w:p>
    <w:p w14:paraId="70540A9D">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乙方负责购买项目财产综合险及公众责任险。甲方应购买建筑物及屋顶财产险、第三者责任险。双方均应将对方列为附加被保险人。保险单副本应在投保后10个工作日内交换备案。</w:t>
      </w:r>
    </w:p>
    <w:p w14:paraId="62E6089D">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14.2.1 乙方购买的项目财产一切险，保险金额不低于项目总投资；甲乙双方购买的公众责任险，每次事故赔偿限额不低于500万元，保险期间覆盖整个合作期，双方互为附加被保险人。</w:t>
      </w:r>
    </w:p>
    <w:p w14:paraId="2DE5662C">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14.2.2 乙方应督促施工单位购买安装工程一切险。</w:t>
      </w:r>
    </w:p>
    <w:p w14:paraId="45618FAF">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14.2.3 甲乙双方投保的保单副本于投保后10个工作日内提交给另一方备案。</w:t>
      </w:r>
    </w:p>
    <w:p w14:paraId="632819F3">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14.3 协议变更</w:t>
      </w:r>
    </w:p>
    <w:p w14:paraId="1478754B">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任何针对本协议的变更均应获得甲乙双方的同意并以双方共同签署的书面文件为准。本协议部分条款被认定无效的，其它条款仍具法律效力。</w:t>
      </w:r>
    </w:p>
    <w:p w14:paraId="6C3874F1">
      <w:pPr>
        <w:pStyle w:val="17"/>
        <w:spacing w:after="0" w:line="500" w:lineRule="exact"/>
        <w:outlineLvl w:val="0"/>
        <w:rPr>
          <w:rFonts w:hint="eastAsia" w:ascii="仿宋" w:hAnsi="仿宋" w:eastAsia="仿宋"/>
          <w:b/>
          <w:lang w:val="es-ES" w:eastAsia="zh-CN"/>
        </w:rPr>
      </w:pPr>
      <w:r>
        <w:rPr>
          <w:rFonts w:hint="eastAsia" w:ascii="仿宋" w:hAnsi="仿宋" w:eastAsia="仿宋"/>
          <w:b/>
          <w:lang w:val="es-ES" w:eastAsia="zh-CN"/>
        </w:rPr>
        <w:t>第十五条 争议的解决</w:t>
      </w:r>
    </w:p>
    <w:p w14:paraId="4CEB3251">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15.1 因本协议的履行、解释、违约、终止、中止、效力等引起的任何争议、纠纷，本协议各方应友好协商解决。</w:t>
      </w:r>
    </w:p>
    <w:p w14:paraId="75F63580">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15.2 如不能协商解决，任何一方有权向项目所在地（珠海市斗门区）有管辖权的人民法院提起诉讼解决。诉讼期间，未涉争议条款仍继续履行。</w:t>
      </w:r>
    </w:p>
    <w:p w14:paraId="016F54CF">
      <w:pPr>
        <w:pStyle w:val="17"/>
        <w:spacing w:after="0" w:line="500" w:lineRule="exact"/>
        <w:outlineLvl w:val="0"/>
        <w:rPr>
          <w:rFonts w:hint="eastAsia" w:ascii="仿宋" w:hAnsi="仿宋" w:eastAsia="仿宋"/>
          <w:b/>
          <w:lang w:val="es-ES" w:eastAsia="zh-CN"/>
        </w:rPr>
      </w:pPr>
      <w:r>
        <w:rPr>
          <w:rFonts w:hint="eastAsia" w:ascii="仿宋" w:hAnsi="仿宋" w:eastAsia="仿宋"/>
          <w:b/>
          <w:lang w:val="es-ES" w:eastAsia="zh-CN"/>
        </w:rPr>
        <w:t>第十六条 保密条款</w:t>
      </w:r>
    </w:p>
    <w:p w14:paraId="27152C7E">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16.1 本协议中，披露秘密的一方将被称为“披露方”同时，收到秘密的一方则被称为“接收方”。本保密条款适用的对象除了双方及其工作人员之外，还包括任何参与前述正在进行商务洽谈的相关项目的人员。</w:t>
      </w:r>
    </w:p>
    <w:p w14:paraId="7258A674">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16.2 除非为了履行本协议所需，接收方将不使用其从披露方获知的任何商务的、技术的、操作的、工艺过程的、贸易秘密及市场的信息、销售和培训辅助材料，文献及其它直接或间接从披露方收到的资料信息（即“保密信息”），并保守秘密。此外，接收方承诺对上述“保密信息”的协议履行期内或是失效后，都不得在未经许可的情况下泄露以上保密信息。</w:t>
      </w:r>
    </w:p>
    <w:p w14:paraId="4DF69CD3">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16.3 接收方不得向第三方透漏在合作期间获得和知晓的披露方（包括其分支机构、控股公司和合资公司）的商业秘密及属于第三方但接收方负有保密义务的信息。商业秘密包括技术秘密和经营秘密，其中技术秘密包括但不限于工作进度、计算机软件、数据库、研究开发记录、技术报告、测试报告、试验数据、实验结果、图纸、样品、样机、模型、模具、操作手册、技术文档、相关的函电等。经营秘密包括但不限于双方洽谈的情况、签署的任何文件，包括合同协议、备忘录、订单等文件中所包含的一切信息、客户名单、行销计划、采购资料、定价政策、财务资料、进货渠道、法律事务信息、人力资源信息等。</w:t>
      </w:r>
    </w:p>
    <w:p w14:paraId="08EB2372">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16.4 未经披露方书面同意，接受方不得在双方合作目的之外使用或向第三方透露披露方的任何商业秘密，不管这些商业秘密是口头的或者书面的，还是以磁盘、胶片或者电子邮件等形式存在的。</w:t>
      </w:r>
    </w:p>
    <w:p w14:paraId="3FBB8942">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16.5 披露方提出收回包含披露方商业秘密的相关资料时，接受方应将有关资料及复印件交还给披露方，或应披露方的要求将这些资料及复印件销毁。</w:t>
      </w:r>
    </w:p>
    <w:p w14:paraId="188D6F56">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16.6 接受方在披露方工作场所内活动时，应听从披露方工作人员的安排和引导。未经披露方允许不得进入披露方实验室、办公室、生产车间等工作环境，不与披露方开发人员进行私下交流。</w:t>
      </w:r>
    </w:p>
    <w:p w14:paraId="04F4FF3A">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16.7 接受方的保密义务在知悉披露方商业秘密后的10年内保持有效，并且在此期间其效力不受合作关系终止及其他任何限期的届满或终结的影响。</w:t>
      </w:r>
    </w:p>
    <w:p w14:paraId="45F00466">
      <w:pPr>
        <w:pStyle w:val="17"/>
        <w:spacing w:after="0" w:line="500" w:lineRule="exact"/>
        <w:outlineLvl w:val="0"/>
        <w:rPr>
          <w:rFonts w:hint="eastAsia" w:ascii="仿宋" w:hAnsi="仿宋" w:eastAsia="仿宋"/>
          <w:b/>
          <w:lang w:val="es-ES" w:eastAsia="zh-CN"/>
        </w:rPr>
      </w:pPr>
      <w:r>
        <w:rPr>
          <w:rFonts w:hint="eastAsia" w:ascii="仿宋" w:hAnsi="仿宋" w:eastAsia="仿宋"/>
          <w:b/>
          <w:lang w:val="es-ES" w:eastAsia="zh-CN"/>
        </w:rPr>
        <w:t>第十七条 协议的生效及其他</w:t>
      </w:r>
    </w:p>
    <w:p w14:paraId="23E59CF7">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17.1 项目联系人职责如下：</w:t>
      </w:r>
    </w:p>
    <w:p w14:paraId="3AC37663">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双方均需设定专责联系人负责项目实施的具体工作。</w:t>
      </w:r>
    </w:p>
    <w:p w14:paraId="77A198D1">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17.2 一方变更项目联系人的，应在七日内以书面形式通知另一方。未及时通知并影响本协议履行或造成损失的，应承担相应的责任。一方变更通讯地址、联系电话的，应在七日内以书面形式通知另一方，未及时通知导致相关通知无法送达的，通知按原联系方式发出后即视为有效送达。</w:t>
      </w:r>
    </w:p>
    <w:p w14:paraId="0D707680">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甲方通讯地址：</w:t>
      </w:r>
      <w:r>
        <w:rPr>
          <w:rFonts w:hint="eastAsia" w:ascii="仿宋" w:hAnsi="仿宋" w:eastAsia="仿宋" w:cs="宋体"/>
          <w:kern w:val="0"/>
          <w:sz w:val="28"/>
          <w:szCs w:val="28"/>
          <w:u w:val="single"/>
        </w:rPr>
        <w:t xml:space="preserve">                           </w:t>
      </w:r>
    </w:p>
    <w:p w14:paraId="2E7EC79F">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联系人：</w:t>
      </w:r>
      <w:r>
        <w:rPr>
          <w:rFonts w:hint="eastAsia" w:ascii="仿宋" w:hAnsi="仿宋" w:eastAsia="仿宋" w:cs="宋体"/>
          <w:kern w:val="0"/>
          <w:sz w:val="28"/>
          <w:szCs w:val="28"/>
          <w:u w:val="single"/>
        </w:rPr>
        <w:t xml:space="preserve">                                 </w:t>
      </w:r>
    </w:p>
    <w:p w14:paraId="50BCDE4D">
      <w:pPr>
        <w:autoSpaceDE w:val="0"/>
        <w:autoSpaceDN w:val="0"/>
        <w:adjustRightInd w:val="0"/>
        <w:spacing w:line="500" w:lineRule="exact"/>
        <w:ind w:firstLine="560" w:firstLineChars="200"/>
        <w:rPr>
          <w:rFonts w:hint="eastAsia" w:ascii="仿宋" w:hAnsi="仿宋" w:eastAsia="仿宋" w:cs="宋体"/>
          <w:kern w:val="0"/>
          <w:sz w:val="28"/>
          <w:szCs w:val="28"/>
          <w:u w:val="single"/>
        </w:rPr>
      </w:pPr>
      <w:r>
        <w:rPr>
          <w:rFonts w:hint="eastAsia" w:ascii="仿宋" w:hAnsi="仿宋" w:eastAsia="仿宋" w:cs="宋体"/>
          <w:kern w:val="0"/>
          <w:sz w:val="28"/>
          <w:szCs w:val="28"/>
        </w:rPr>
        <w:t>联系电话：</w:t>
      </w:r>
      <w:r>
        <w:rPr>
          <w:rFonts w:hint="eastAsia" w:ascii="仿宋" w:hAnsi="仿宋" w:eastAsia="仿宋" w:cs="宋体"/>
          <w:kern w:val="0"/>
          <w:sz w:val="28"/>
          <w:szCs w:val="28"/>
          <w:u w:val="single"/>
        </w:rPr>
        <w:t xml:space="preserve">                               </w:t>
      </w:r>
    </w:p>
    <w:p w14:paraId="021BEAB7">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乙方通讯地址：</w:t>
      </w:r>
    </w:p>
    <w:p w14:paraId="0818402B">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联系人：</w:t>
      </w:r>
    </w:p>
    <w:p w14:paraId="25626F97">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联系电话：</w:t>
      </w:r>
    </w:p>
    <w:p w14:paraId="4C5FAFA6">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双方按上述联系方式发送的通知均视为已合法送达。</w:t>
      </w:r>
    </w:p>
    <w:p w14:paraId="63EBAEC4">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17.3 本协议自双方法定代表人或授权代表签字并加盖公司公章之日起生效，至本协议约定的项目期限届满为止。协议文本壹式肆份，具有同等法律效力，双方各执贰份。</w:t>
      </w:r>
    </w:p>
    <w:p w14:paraId="639C800D">
      <w:pPr>
        <w:autoSpaceDE w:val="0"/>
        <w:autoSpaceDN w:val="0"/>
        <w:adjustRightInd w:val="0"/>
        <w:spacing w:line="500" w:lineRule="exact"/>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17.4 本协议未尽事宜，双方可通过补充协议确定，补充协议和此协议具有同样的法律效力。</w:t>
      </w:r>
    </w:p>
    <w:p w14:paraId="05E94D51">
      <w:pPr>
        <w:autoSpaceDE w:val="0"/>
        <w:autoSpaceDN w:val="0"/>
        <w:adjustRightInd w:val="0"/>
        <w:spacing w:line="500" w:lineRule="exact"/>
        <w:ind w:firstLine="560" w:firstLineChars="200"/>
        <w:rPr>
          <w:rFonts w:hint="eastAsia" w:ascii="宋体" w:hAnsi="宋体" w:cs="宋体"/>
          <w:kern w:val="0"/>
          <w:sz w:val="24"/>
        </w:rPr>
      </w:pPr>
      <w:r>
        <w:rPr>
          <w:rFonts w:hint="eastAsia" w:ascii="仿宋" w:hAnsi="仿宋" w:eastAsia="仿宋" w:cs="宋体"/>
          <w:kern w:val="0"/>
          <w:sz w:val="28"/>
          <w:szCs w:val="28"/>
        </w:rPr>
        <w:t>17.5 本协议于</w:t>
      </w:r>
      <w:r>
        <w:rPr>
          <w:rFonts w:hint="eastAsia" w:ascii="仿宋" w:hAnsi="仿宋" w:eastAsia="仿宋" w:cs="宋体"/>
          <w:kern w:val="0"/>
          <w:sz w:val="28"/>
          <w:szCs w:val="28"/>
          <w:u w:val="single"/>
        </w:rPr>
        <w:t>二零二六</w:t>
      </w:r>
      <w:r>
        <w:rPr>
          <w:rFonts w:hint="eastAsia" w:ascii="仿宋" w:hAnsi="仿宋" w:eastAsia="仿宋" w:cs="宋体"/>
          <w:kern w:val="0"/>
          <w:sz w:val="28"/>
          <w:szCs w:val="28"/>
        </w:rPr>
        <w:t>年</w:t>
      </w:r>
      <w:r>
        <w:rPr>
          <w:rFonts w:hint="eastAsia" w:ascii="仿宋" w:hAnsi="仿宋" w:eastAsia="仿宋" w:cs="宋体"/>
          <w:kern w:val="0"/>
          <w:sz w:val="28"/>
          <w:szCs w:val="28"/>
          <w:u w:val="single"/>
        </w:rPr>
        <w:t xml:space="preserve">   </w:t>
      </w:r>
      <w:r>
        <w:rPr>
          <w:rFonts w:hint="eastAsia" w:ascii="仿宋" w:hAnsi="仿宋" w:eastAsia="仿宋" w:cs="宋体"/>
          <w:kern w:val="0"/>
          <w:sz w:val="28"/>
          <w:szCs w:val="28"/>
        </w:rPr>
        <w:t>月</w:t>
      </w:r>
      <w:r>
        <w:rPr>
          <w:rFonts w:hint="eastAsia" w:ascii="仿宋" w:hAnsi="仿宋" w:eastAsia="仿宋" w:cs="宋体"/>
          <w:kern w:val="0"/>
          <w:sz w:val="28"/>
          <w:szCs w:val="28"/>
          <w:u w:val="single"/>
        </w:rPr>
        <w:t xml:space="preserve">    </w:t>
      </w:r>
      <w:r>
        <w:rPr>
          <w:rFonts w:hint="eastAsia" w:ascii="仿宋" w:hAnsi="仿宋" w:eastAsia="仿宋" w:cs="宋体"/>
          <w:kern w:val="0"/>
          <w:sz w:val="28"/>
          <w:szCs w:val="28"/>
        </w:rPr>
        <w:t>日签署。</w:t>
      </w:r>
    </w:p>
    <w:p w14:paraId="6247C0B0">
      <w:pPr>
        <w:widowControl/>
        <w:autoSpaceDE w:val="0"/>
        <w:autoSpaceDN w:val="0"/>
        <w:adjustRightInd w:val="0"/>
        <w:spacing w:line="500" w:lineRule="exact"/>
        <w:ind w:firstLine="480" w:firstLineChars="200"/>
        <w:jc w:val="left"/>
        <w:rPr>
          <w:rFonts w:hint="eastAsia" w:ascii="黑体" w:hAnsi="宋体" w:eastAsia="黑体"/>
          <w:b/>
          <w:sz w:val="28"/>
        </w:rPr>
      </w:pPr>
      <w:r>
        <w:rPr>
          <w:rFonts w:hint="eastAsia" w:ascii="宋体" w:hAnsi="宋体" w:cs="宋体"/>
          <w:i/>
          <w:kern w:val="0"/>
          <w:sz w:val="24"/>
        </w:rPr>
        <w:t>（以下无正文）</w:t>
      </w:r>
      <w:r>
        <w:rPr>
          <w:rFonts w:hint="eastAsia" w:ascii="黑体" w:hAnsi="宋体" w:eastAsia="黑体"/>
          <w:b/>
          <w:sz w:val="28"/>
        </w:rPr>
        <w:br w:type="page"/>
      </w:r>
    </w:p>
    <w:p w14:paraId="75B81CD7">
      <w:pPr>
        <w:spacing w:line="500" w:lineRule="exact"/>
        <w:rPr>
          <w:rFonts w:hint="eastAsia" w:ascii="黑体" w:hAnsi="宋体" w:eastAsia="黑体"/>
          <w:b/>
          <w:sz w:val="28"/>
        </w:rPr>
      </w:pPr>
      <w:r>
        <w:rPr>
          <w:rFonts w:hint="eastAsia" w:ascii="黑体" w:hAnsi="宋体" w:eastAsia="黑体"/>
          <w:b/>
          <w:sz w:val="28"/>
        </w:rPr>
        <w:t>签字页：</w:t>
      </w:r>
    </w:p>
    <w:p w14:paraId="33375C71">
      <w:pPr>
        <w:autoSpaceDE w:val="0"/>
        <w:autoSpaceDN w:val="0"/>
        <w:adjustRightInd w:val="0"/>
        <w:spacing w:line="500" w:lineRule="exact"/>
        <w:jc w:val="left"/>
        <w:rPr>
          <w:rFonts w:hint="eastAsia" w:ascii="仿宋" w:hAnsi="仿宋" w:eastAsia="仿宋" w:cs="宋体"/>
          <w:kern w:val="0"/>
          <w:sz w:val="28"/>
          <w:szCs w:val="28"/>
        </w:rPr>
      </w:pPr>
    </w:p>
    <w:tbl>
      <w:tblPr>
        <w:tblStyle w:val="12"/>
        <w:tblW w:w="91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1"/>
        <w:gridCol w:w="4470"/>
      </w:tblGrid>
      <w:tr w14:paraId="0AB1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1" w:type="dxa"/>
            <w:tcBorders>
              <w:top w:val="single" w:color="auto" w:sz="4" w:space="0"/>
              <w:left w:val="single" w:color="auto" w:sz="4" w:space="0"/>
              <w:bottom w:val="single" w:color="auto" w:sz="4" w:space="0"/>
              <w:right w:val="single" w:color="auto" w:sz="4" w:space="0"/>
              <w:tl2br w:val="nil"/>
              <w:tr2bl w:val="nil"/>
            </w:tcBorders>
          </w:tcPr>
          <w:p w14:paraId="6DE22A19">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甲方：（盖章）</w:t>
            </w:r>
          </w:p>
          <w:p w14:paraId="63FE7372">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珠海斗门财金投资控股有限公司</w:t>
            </w:r>
          </w:p>
          <w:p w14:paraId="44DD200D">
            <w:pPr>
              <w:spacing w:line="500" w:lineRule="exact"/>
              <w:jc w:val="left"/>
              <w:rPr>
                <w:rFonts w:hint="eastAsia" w:ascii="仿宋_GB2312" w:hAnsi="仿宋_GB2312" w:eastAsia="仿宋_GB2312" w:cs="仿宋_GB2312"/>
                <w:sz w:val="28"/>
                <w:szCs w:val="28"/>
              </w:rPr>
            </w:pPr>
          </w:p>
          <w:p w14:paraId="21EF0699">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法定代表人/授权代表（签字）：</w:t>
            </w:r>
          </w:p>
          <w:p w14:paraId="69DCE7A2">
            <w:pPr>
              <w:spacing w:line="500" w:lineRule="exact"/>
              <w:jc w:val="left"/>
              <w:rPr>
                <w:rFonts w:hint="eastAsia" w:ascii="仿宋_GB2312" w:hAnsi="仿宋_GB2312" w:eastAsia="仿宋_GB2312" w:cs="仿宋_GB2312"/>
                <w:sz w:val="28"/>
                <w:szCs w:val="28"/>
              </w:rPr>
            </w:pPr>
          </w:p>
          <w:p w14:paraId="58304E2A">
            <w:pPr>
              <w:spacing w:line="500" w:lineRule="exact"/>
              <w:jc w:val="left"/>
              <w:rPr>
                <w:rFonts w:hint="eastAsia" w:ascii="仿宋_GB2312" w:hAnsi="仿宋_GB2312" w:eastAsia="仿宋_GB2312" w:cs="仿宋_GB2312"/>
                <w:sz w:val="28"/>
                <w:szCs w:val="28"/>
              </w:rPr>
            </w:pPr>
          </w:p>
          <w:p w14:paraId="5AAF19B3">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合同签订时间：2026年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  日</w:t>
            </w:r>
          </w:p>
          <w:p w14:paraId="0A79DECB">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通信地址：</w:t>
            </w:r>
            <w:r>
              <w:rPr>
                <w:rFonts w:ascii="仿宋_GB2312" w:hAnsi="仿宋_GB2312" w:eastAsia="仿宋_GB2312" w:cs="仿宋_GB2312"/>
                <w:sz w:val="28"/>
                <w:szCs w:val="28"/>
              </w:rPr>
              <w:t>珠海市斗门区井岸镇井湾路416号五楼504室</w:t>
            </w:r>
          </w:p>
          <w:p w14:paraId="0064C168">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邮编：</w:t>
            </w:r>
            <w:r>
              <w:rPr>
                <w:rFonts w:ascii="仿宋_GB2312" w:hAnsi="仿宋_GB2312" w:eastAsia="仿宋_GB2312" w:cs="仿宋_GB2312"/>
                <w:sz w:val="28"/>
                <w:szCs w:val="28"/>
              </w:rPr>
              <w:t>519100</w:t>
            </w:r>
          </w:p>
          <w:p w14:paraId="345C53FA">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联系人：</w:t>
            </w:r>
          </w:p>
          <w:p w14:paraId="550E6334">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电话：</w:t>
            </w:r>
          </w:p>
          <w:p w14:paraId="2400B1C3">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电子邮箱：</w:t>
            </w:r>
          </w:p>
          <w:p w14:paraId="49B04095">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开户银行：</w:t>
            </w:r>
          </w:p>
          <w:p w14:paraId="15B87CF8">
            <w:pPr>
              <w:spacing w:line="500" w:lineRule="exact"/>
              <w:jc w:val="left"/>
              <w:rPr>
                <w:rFonts w:hint="eastAsia" w:ascii="仿宋_GB2312" w:hAnsi="仿宋_GB2312" w:eastAsia="仿宋_GB2312" w:cs="仿宋_GB2312"/>
                <w:sz w:val="28"/>
                <w:szCs w:val="28"/>
              </w:rPr>
            </w:pPr>
          </w:p>
          <w:p w14:paraId="09AA7D8F">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账号：</w:t>
            </w:r>
          </w:p>
          <w:p w14:paraId="3D1305DA">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统一社会信用代码：</w:t>
            </w:r>
            <w:r>
              <w:rPr>
                <w:rFonts w:ascii="仿宋_GB2312" w:hAnsi="仿宋_GB2312" w:eastAsia="仿宋_GB2312" w:cs="仿宋_GB2312"/>
                <w:sz w:val="28"/>
                <w:szCs w:val="28"/>
              </w:rPr>
              <w:t>91440400MA4UJKP098</w:t>
            </w:r>
          </w:p>
        </w:tc>
        <w:tc>
          <w:tcPr>
            <w:tcW w:w="4470" w:type="dxa"/>
            <w:tcBorders>
              <w:top w:val="single" w:color="auto" w:sz="4" w:space="0"/>
              <w:left w:val="single" w:color="auto" w:sz="4" w:space="0"/>
              <w:bottom w:val="single" w:color="auto" w:sz="4" w:space="0"/>
              <w:right w:val="single" w:color="auto" w:sz="4" w:space="0"/>
              <w:tl2br w:val="nil"/>
              <w:tr2bl w:val="nil"/>
            </w:tcBorders>
          </w:tcPr>
          <w:p w14:paraId="1DD44BB2">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乙方：（盖章）</w:t>
            </w:r>
          </w:p>
          <w:p w14:paraId="5CD1B5DE">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法定代表人/授权代表（签字）：</w:t>
            </w:r>
          </w:p>
          <w:p w14:paraId="743AF211">
            <w:pPr>
              <w:spacing w:line="500" w:lineRule="exact"/>
              <w:jc w:val="left"/>
              <w:rPr>
                <w:rFonts w:hint="eastAsia" w:ascii="仿宋_GB2312" w:hAnsi="仿宋_GB2312" w:eastAsia="仿宋_GB2312" w:cs="仿宋_GB2312"/>
                <w:sz w:val="28"/>
                <w:szCs w:val="28"/>
              </w:rPr>
            </w:pPr>
          </w:p>
          <w:p w14:paraId="0E267705">
            <w:pPr>
              <w:spacing w:line="500" w:lineRule="exact"/>
              <w:jc w:val="left"/>
              <w:rPr>
                <w:rFonts w:hint="eastAsia" w:ascii="仿宋_GB2312" w:hAnsi="仿宋_GB2312" w:eastAsia="仿宋_GB2312" w:cs="仿宋_GB2312"/>
                <w:sz w:val="28"/>
                <w:szCs w:val="28"/>
              </w:rPr>
            </w:pPr>
          </w:p>
          <w:p w14:paraId="14657003">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合同签订时间：2026年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  日</w:t>
            </w:r>
          </w:p>
          <w:p w14:paraId="52AFC879">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通信地址：</w:t>
            </w:r>
          </w:p>
          <w:p w14:paraId="0D4C165D">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邮编：</w:t>
            </w:r>
          </w:p>
          <w:p w14:paraId="49582ADC">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联系人：</w:t>
            </w:r>
          </w:p>
          <w:p w14:paraId="11F15029">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电话：</w:t>
            </w:r>
          </w:p>
          <w:p w14:paraId="6E1CEFF6">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电子邮箱：</w:t>
            </w:r>
          </w:p>
          <w:p w14:paraId="42303EAD">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开户银行：</w:t>
            </w:r>
          </w:p>
          <w:p w14:paraId="193FF3AD">
            <w:pPr>
              <w:spacing w:line="5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账号：</w:t>
            </w:r>
          </w:p>
          <w:p w14:paraId="4573E8AC">
            <w:pPr>
              <w:wordWrap w:val="0"/>
              <w:spacing w:line="500" w:lineRule="exact"/>
              <w:jc w:val="left"/>
              <w:rPr>
                <w:rFonts w:hint="eastAsia" w:ascii="宋体" w:hAnsi="宋体" w:cs="Arial Unicode MS"/>
                <w:sz w:val="24"/>
                <w:szCs w:val="22"/>
              </w:rPr>
            </w:pPr>
            <w:r>
              <w:rPr>
                <w:rFonts w:hint="eastAsia" w:ascii="仿宋_GB2312" w:hAnsi="仿宋_GB2312" w:eastAsia="仿宋_GB2312" w:cs="仿宋_GB2312"/>
                <w:sz w:val="28"/>
                <w:szCs w:val="28"/>
              </w:rPr>
              <w:t>统一社会信用代码：</w:t>
            </w:r>
          </w:p>
        </w:tc>
      </w:tr>
    </w:tbl>
    <w:p w14:paraId="1D552C14">
      <w:pPr>
        <w:spacing w:line="500" w:lineRule="exact"/>
      </w:pPr>
    </w:p>
    <w:p w14:paraId="75254FA2">
      <w:pPr>
        <w:spacing w:line="500" w:lineRule="exact"/>
      </w:pPr>
    </w:p>
    <w:p w14:paraId="33A6E7B8">
      <w:pPr>
        <w:spacing w:line="500" w:lineRule="exact"/>
      </w:pPr>
    </w:p>
    <w:p w14:paraId="5CDE0DD4">
      <w:pPr>
        <w:spacing w:line="500" w:lineRule="exact"/>
      </w:pPr>
    </w:p>
    <w:p w14:paraId="69F1973C">
      <w:pPr>
        <w:spacing w:line="500" w:lineRule="exact"/>
        <w:rPr>
          <w:rFonts w:hint="eastAsia" w:ascii="宋体" w:hAnsi="宋体" w:cs="宋体"/>
          <w:color w:val="000000"/>
          <w:sz w:val="18"/>
        </w:rPr>
      </w:pPr>
    </w:p>
    <w:p w14:paraId="19D9512D">
      <w:pPr>
        <w:spacing w:line="500" w:lineRule="exact"/>
        <w:rPr>
          <w:rFonts w:hint="eastAsia" w:ascii="宋体" w:hAnsi="宋体" w:cs="宋体"/>
          <w:color w:val="000000"/>
          <w:sz w:val="18"/>
        </w:rPr>
      </w:pPr>
    </w:p>
    <w:p w14:paraId="1A5CA485">
      <w:pPr>
        <w:spacing w:line="500" w:lineRule="exact"/>
        <w:rPr>
          <w:rFonts w:hint="eastAsia" w:ascii="宋体" w:hAnsi="宋体" w:cs="宋体"/>
          <w:color w:val="000000"/>
          <w:sz w:val="18"/>
        </w:rPr>
      </w:pPr>
    </w:p>
    <w:p w14:paraId="7CF47B32">
      <w:pPr>
        <w:spacing w:line="500" w:lineRule="exact"/>
      </w:pPr>
      <w:r>
        <w:rPr>
          <w:rFonts w:hint="eastAsia" w:ascii="宋体" w:hAnsi="宋体" w:cs="宋体"/>
          <w:color w:val="000000"/>
          <w:sz w:val="18"/>
        </w:rPr>
        <w:t>附件一、《担保每兆瓦理论发电量》</w:t>
      </w:r>
      <w:r>
        <w:rPr>
          <w:rFonts w:ascii="宋体" w:hAnsi="宋体" w:cs="宋体"/>
          <w:color w:val="000000"/>
          <w:sz w:val="18"/>
        </w:rPr>
        <w:t xml:space="preserve"> </w:t>
      </w:r>
    </w:p>
    <w:tbl>
      <w:tblPr>
        <w:tblStyle w:val="12"/>
        <w:tblW w:w="8926" w:type="dxa"/>
        <w:tblInd w:w="0" w:type="dxa"/>
        <w:tblLayout w:type="autofit"/>
        <w:tblCellMar>
          <w:top w:w="0" w:type="dxa"/>
          <w:left w:w="108" w:type="dxa"/>
          <w:bottom w:w="0" w:type="dxa"/>
          <w:right w:w="108" w:type="dxa"/>
        </w:tblCellMar>
      </w:tblPr>
      <w:tblGrid>
        <w:gridCol w:w="3397"/>
        <w:gridCol w:w="5529"/>
      </w:tblGrid>
      <w:tr w14:paraId="24F17FDC">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4A651FA8">
            <w:pPr>
              <w:widowControl/>
              <w:jc w:val="center"/>
              <w:rPr>
                <w:rFonts w:ascii="宋体" w:hAnsi="宋体" w:cs="宋体"/>
                <w:color w:val="000000"/>
                <w:kern w:val="0"/>
                <w:sz w:val="16"/>
                <w:szCs w:val="16"/>
              </w:rPr>
            </w:pPr>
            <w:r>
              <w:rPr>
                <w:rFonts w:ascii="宋体" w:hAnsi="宋体" w:cs="宋体"/>
                <w:color w:val="000000"/>
                <w:kern w:val="0"/>
                <w:sz w:val="16"/>
                <w:szCs w:val="16"/>
              </w:rPr>
              <w:t>年度</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2E08DC20">
            <w:pPr>
              <w:widowControl/>
              <w:jc w:val="center"/>
              <w:rPr>
                <w:rFonts w:ascii="宋体" w:hAnsi="宋体" w:cs="宋体"/>
                <w:color w:val="000000"/>
                <w:kern w:val="0"/>
                <w:sz w:val="16"/>
                <w:szCs w:val="16"/>
              </w:rPr>
            </w:pPr>
            <w:r>
              <w:rPr>
                <w:rFonts w:ascii="宋体" w:hAnsi="宋体" w:cs="宋体"/>
                <w:color w:val="000000"/>
                <w:kern w:val="0"/>
                <w:sz w:val="16"/>
                <w:szCs w:val="16"/>
              </w:rPr>
              <w:t>年发电量（度）</w:t>
            </w:r>
          </w:p>
        </w:tc>
      </w:tr>
      <w:tr w14:paraId="50C3F81C">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5FC2D24B">
            <w:pPr>
              <w:widowControl/>
              <w:jc w:val="center"/>
              <w:rPr>
                <w:rFonts w:ascii="宋体" w:hAnsi="宋体" w:cs="宋体"/>
                <w:color w:val="000000"/>
                <w:kern w:val="0"/>
                <w:sz w:val="20"/>
                <w:szCs w:val="20"/>
              </w:rPr>
            </w:pPr>
            <w:r>
              <w:rPr>
                <w:rFonts w:ascii="宋体" w:hAnsi="宋体" w:cs="宋体"/>
                <w:color w:val="000000"/>
                <w:kern w:val="0"/>
                <w:sz w:val="20"/>
                <w:szCs w:val="20"/>
              </w:rPr>
              <w:t>1</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786188A4">
            <w:pPr>
              <w:widowControl/>
              <w:jc w:val="center"/>
              <w:rPr>
                <w:rFonts w:ascii="宋体" w:hAnsi="宋体" w:cs="宋体"/>
                <w:color w:val="000000"/>
                <w:kern w:val="0"/>
                <w:sz w:val="20"/>
                <w:szCs w:val="20"/>
              </w:rPr>
            </w:pPr>
          </w:p>
        </w:tc>
      </w:tr>
      <w:tr w14:paraId="78DFF3E3">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09121FD2">
            <w:pPr>
              <w:widowControl/>
              <w:jc w:val="center"/>
              <w:rPr>
                <w:rFonts w:ascii="宋体" w:hAnsi="宋体" w:cs="宋体"/>
                <w:color w:val="000000"/>
                <w:kern w:val="0"/>
                <w:sz w:val="20"/>
                <w:szCs w:val="20"/>
              </w:rPr>
            </w:pPr>
            <w:r>
              <w:rPr>
                <w:rFonts w:ascii="宋体" w:hAnsi="宋体" w:cs="宋体"/>
                <w:color w:val="000000"/>
                <w:kern w:val="0"/>
                <w:sz w:val="20"/>
                <w:szCs w:val="20"/>
              </w:rPr>
              <w:t>2</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7C44DD05">
            <w:pPr>
              <w:widowControl/>
              <w:jc w:val="center"/>
              <w:rPr>
                <w:rFonts w:ascii="宋体" w:hAnsi="宋体" w:cs="宋体"/>
                <w:color w:val="000000"/>
                <w:kern w:val="0"/>
                <w:sz w:val="20"/>
                <w:szCs w:val="20"/>
              </w:rPr>
            </w:pPr>
          </w:p>
        </w:tc>
      </w:tr>
      <w:tr w14:paraId="4ACFFCA3">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429C3B09">
            <w:pPr>
              <w:widowControl/>
              <w:jc w:val="center"/>
              <w:rPr>
                <w:rFonts w:ascii="宋体" w:hAnsi="宋体" w:cs="宋体"/>
                <w:color w:val="000000"/>
                <w:kern w:val="0"/>
                <w:sz w:val="20"/>
                <w:szCs w:val="20"/>
              </w:rPr>
            </w:pPr>
            <w:r>
              <w:rPr>
                <w:rFonts w:ascii="宋体" w:hAnsi="宋体" w:cs="宋体"/>
                <w:color w:val="000000"/>
                <w:kern w:val="0"/>
                <w:sz w:val="20"/>
                <w:szCs w:val="20"/>
              </w:rPr>
              <w:t>3</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66CC6873">
            <w:pPr>
              <w:widowControl/>
              <w:jc w:val="center"/>
              <w:rPr>
                <w:rFonts w:ascii="宋体" w:hAnsi="宋体" w:cs="宋体"/>
                <w:color w:val="000000"/>
                <w:kern w:val="0"/>
                <w:sz w:val="20"/>
                <w:szCs w:val="20"/>
              </w:rPr>
            </w:pPr>
          </w:p>
        </w:tc>
      </w:tr>
      <w:tr w14:paraId="22BAC389">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281BD288">
            <w:pPr>
              <w:widowControl/>
              <w:jc w:val="center"/>
              <w:rPr>
                <w:rFonts w:ascii="宋体" w:hAnsi="宋体" w:cs="宋体"/>
                <w:color w:val="000000"/>
                <w:kern w:val="0"/>
                <w:sz w:val="20"/>
                <w:szCs w:val="20"/>
              </w:rPr>
            </w:pPr>
            <w:r>
              <w:rPr>
                <w:rFonts w:ascii="宋体" w:hAnsi="宋体" w:cs="宋体"/>
                <w:color w:val="000000"/>
                <w:kern w:val="0"/>
                <w:sz w:val="20"/>
                <w:szCs w:val="20"/>
              </w:rPr>
              <w:t>4</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74D4CC9E">
            <w:pPr>
              <w:widowControl/>
              <w:jc w:val="center"/>
              <w:rPr>
                <w:rFonts w:ascii="宋体" w:hAnsi="宋体" w:cs="宋体"/>
                <w:color w:val="000000"/>
                <w:kern w:val="0"/>
                <w:sz w:val="20"/>
                <w:szCs w:val="20"/>
              </w:rPr>
            </w:pPr>
          </w:p>
        </w:tc>
      </w:tr>
      <w:tr w14:paraId="11F19530">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71EC153D">
            <w:pPr>
              <w:widowControl/>
              <w:jc w:val="center"/>
              <w:rPr>
                <w:rFonts w:ascii="宋体" w:hAnsi="宋体" w:cs="宋体"/>
                <w:color w:val="000000"/>
                <w:kern w:val="0"/>
                <w:sz w:val="20"/>
                <w:szCs w:val="20"/>
              </w:rPr>
            </w:pPr>
            <w:r>
              <w:rPr>
                <w:rFonts w:ascii="宋体" w:hAnsi="宋体" w:cs="宋体"/>
                <w:color w:val="000000"/>
                <w:kern w:val="0"/>
                <w:sz w:val="20"/>
                <w:szCs w:val="20"/>
              </w:rPr>
              <w:t>5</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6EB43210">
            <w:pPr>
              <w:widowControl/>
              <w:jc w:val="center"/>
              <w:rPr>
                <w:rFonts w:ascii="宋体" w:hAnsi="宋体" w:cs="宋体"/>
                <w:color w:val="000000"/>
                <w:kern w:val="0"/>
                <w:sz w:val="20"/>
                <w:szCs w:val="20"/>
              </w:rPr>
            </w:pPr>
          </w:p>
        </w:tc>
      </w:tr>
      <w:tr w14:paraId="4CAD842A">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7BF51233">
            <w:pPr>
              <w:widowControl/>
              <w:jc w:val="center"/>
              <w:rPr>
                <w:rFonts w:ascii="宋体" w:hAnsi="宋体" w:cs="宋体"/>
                <w:color w:val="000000"/>
                <w:kern w:val="0"/>
                <w:sz w:val="20"/>
                <w:szCs w:val="20"/>
              </w:rPr>
            </w:pPr>
            <w:r>
              <w:rPr>
                <w:rFonts w:ascii="宋体" w:hAnsi="宋体" w:cs="宋体"/>
                <w:color w:val="000000"/>
                <w:kern w:val="0"/>
                <w:sz w:val="20"/>
                <w:szCs w:val="20"/>
              </w:rPr>
              <w:t>6</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66B1C3B2">
            <w:pPr>
              <w:widowControl/>
              <w:jc w:val="center"/>
              <w:rPr>
                <w:rFonts w:ascii="宋体" w:hAnsi="宋体" w:cs="宋体"/>
                <w:color w:val="000000"/>
                <w:kern w:val="0"/>
                <w:sz w:val="20"/>
                <w:szCs w:val="20"/>
              </w:rPr>
            </w:pPr>
          </w:p>
        </w:tc>
      </w:tr>
      <w:tr w14:paraId="591C344F">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37B42CCE">
            <w:pPr>
              <w:widowControl/>
              <w:jc w:val="center"/>
              <w:rPr>
                <w:rFonts w:ascii="宋体" w:hAnsi="宋体" w:cs="宋体"/>
                <w:color w:val="000000"/>
                <w:kern w:val="0"/>
                <w:sz w:val="20"/>
                <w:szCs w:val="20"/>
              </w:rPr>
            </w:pPr>
            <w:r>
              <w:rPr>
                <w:rFonts w:ascii="宋体" w:hAnsi="宋体" w:cs="宋体"/>
                <w:color w:val="000000"/>
                <w:kern w:val="0"/>
                <w:sz w:val="20"/>
                <w:szCs w:val="20"/>
              </w:rPr>
              <w:t>7</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7A92498A">
            <w:pPr>
              <w:widowControl/>
              <w:jc w:val="center"/>
              <w:rPr>
                <w:rFonts w:ascii="宋体" w:hAnsi="宋体" w:cs="宋体"/>
                <w:color w:val="000000"/>
                <w:kern w:val="0"/>
                <w:sz w:val="20"/>
                <w:szCs w:val="20"/>
              </w:rPr>
            </w:pPr>
          </w:p>
        </w:tc>
      </w:tr>
      <w:tr w14:paraId="1DE3B59D">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2A0F9A3C">
            <w:pPr>
              <w:widowControl/>
              <w:jc w:val="center"/>
              <w:rPr>
                <w:rFonts w:ascii="宋体" w:hAnsi="宋体" w:cs="宋体"/>
                <w:color w:val="000000"/>
                <w:kern w:val="0"/>
                <w:sz w:val="20"/>
                <w:szCs w:val="20"/>
              </w:rPr>
            </w:pPr>
            <w:r>
              <w:rPr>
                <w:rFonts w:ascii="宋体" w:hAnsi="宋体" w:cs="宋体"/>
                <w:color w:val="000000"/>
                <w:kern w:val="0"/>
                <w:sz w:val="20"/>
                <w:szCs w:val="20"/>
              </w:rPr>
              <w:t>8</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3D05ADA7">
            <w:pPr>
              <w:widowControl/>
              <w:jc w:val="center"/>
              <w:rPr>
                <w:rFonts w:ascii="宋体" w:hAnsi="宋体" w:cs="宋体"/>
                <w:color w:val="000000"/>
                <w:kern w:val="0"/>
                <w:sz w:val="20"/>
                <w:szCs w:val="20"/>
              </w:rPr>
            </w:pPr>
          </w:p>
        </w:tc>
      </w:tr>
      <w:tr w14:paraId="67B422CF">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43BB08A0">
            <w:pPr>
              <w:widowControl/>
              <w:jc w:val="center"/>
              <w:rPr>
                <w:rFonts w:ascii="宋体" w:hAnsi="宋体" w:cs="宋体"/>
                <w:color w:val="000000"/>
                <w:kern w:val="0"/>
                <w:sz w:val="20"/>
                <w:szCs w:val="20"/>
              </w:rPr>
            </w:pPr>
            <w:r>
              <w:rPr>
                <w:rFonts w:ascii="宋体" w:hAnsi="宋体" w:cs="宋体"/>
                <w:color w:val="000000"/>
                <w:kern w:val="0"/>
                <w:sz w:val="20"/>
                <w:szCs w:val="20"/>
              </w:rPr>
              <w:t>9</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161CBE10">
            <w:pPr>
              <w:widowControl/>
              <w:jc w:val="center"/>
              <w:rPr>
                <w:rFonts w:ascii="宋体" w:hAnsi="宋体" w:cs="宋体"/>
                <w:color w:val="000000"/>
                <w:kern w:val="0"/>
                <w:sz w:val="20"/>
                <w:szCs w:val="20"/>
              </w:rPr>
            </w:pPr>
          </w:p>
        </w:tc>
      </w:tr>
      <w:tr w14:paraId="14CF0798">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04A8457B">
            <w:pPr>
              <w:widowControl/>
              <w:jc w:val="center"/>
              <w:rPr>
                <w:rFonts w:ascii="宋体" w:hAnsi="宋体" w:cs="宋体"/>
                <w:color w:val="000000"/>
                <w:kern w:val="0"/>
                <w:sz w:val="20"/>
                <w:szCs w:val="20"/>
              </w:rPr>
            </w:pPr>
            <w:r>
              <w:rPr>
                <w:rFonts w:ascii="宋体" w:hAnsi="宋体" w:cs="宋体"/>
                <w:color w:val="000000"/>
                <w:kern w:val="0"/>
                <w:sz w:val="20"/>
                <w:szCs w:val="20"/>
              </w:rPr>
              <w:t>10</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781D3D8B">
            <w:pPr>
              <w:widowControl/>
              <w:jc w:val="center"/>
              <w:rPr>
                <w:rFonts w:ascii="宋体" w:hAnsi="宋体" w:cs="宋体"/>
                <w:color w:val="000000"/>
                <w:kern w:val="0"/>
                <w:sz w:val="20"/>
                <w:szCs w:val="20"/>
              </w:rPr>
            </w:pPr>
          </w:p>
        </w:tc>
      </w:tr>
      <w:tr w14:paraId="22DF2418">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6562FCB3">
            <w:pPr>
              <w:widowControl/>
              <w:jc w:val="center"/>
              <w:rPr>
                <w:rFonts w:ascii="宋体" w:hAnsi="宋体" w:cs="宋体"/>
                <w:color w:val="000000"/>
                <w:kern w:val="0"/>
                <w:sz w:val="20"/>
                <w:szCs w:val="20"/>
              </w:rPr>
            </w:pPr>
            <w:r>
              <w:rPr>
                <w:rFonts w:ascii="宋体" w:hAnsi="宋体" w:cs="宋体"/>
                <w:color w:val="000000"/>
                <w:kern w:val="0"/>
                <w:sz w:val="20"/>
                <w:szCs w:val="20"/>
              </w:rPr>
              <w:t>11</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13439606">
            <w:pPr>
              <w:widowControl/>
              <w:jc w:val="center"/>
              <w:rPr>
                <w:rFonts w:ascii="宋体" w:hAnsi="宋体" w:cs="宋体"/>
                <w:color w:val="000000"/>
                <w:kern w:val="0"/>
                <w:sz w:val="20"/>
                <w:szCs w:val="20"/>
              </w:rPr>
            </w:pPr>
          </w:p>
        </w:tc>
      </w:tr>
      <w:tr w14:paraId="76B4176B">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6578843C">
            <w:pPr>
              <w:widowControl/>
              <w:jc w:val="center"/>
              <w:rPr>
                <w:rFonts w:ascii="宋体" w:hAnsi="宋体" w:cs="宋体"/>
                <w:color w:val="000000"/>
                <w:kern w:val="0"/>
                <w:sz w:val="20"/>
                <w:szCs w:val="20"/>
              </w:rPr>
            </w:pPr>
            <w:r>
              <w:rPr>
                <w:rFonts w:ascii="宋体" w:hAnsi="宋体" w:cs="宋体"/>
                <w:color w:val="000000"/>
                <w:kern w:val="0"/>
                <w:sz w:val="20"/>
                <w:szCs w:val="20"/>
              </w:rPr>
              <w:t>12</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5091714A">
            <w:pPr>
              <w:widowControl/>
              <w:jc w:val="center"/>
              <w:rPr>
                <w:rFonts w:ascii="宋体" w:hAnsi="宋体" w:cs="宋体"/>
                <w:color w:val="000000"/>
                <w:kern w:val="0"/>
                <w:sz w:val="20"/>
                <w:szCs w:val="20"/>
              </w:rPr>
            </w:pPr>
          </w:p>
        </w:tc>
      </w:tr>
      <w:tr w14:paraId="0087DF7C">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75F36784">
            <w:pPr>
              <w:widowControl/>
              <w:jc w:val="center"/>
              <w:rPr>
                <w:rFonts w:ascii="宋体" w:hAnsi="宋体" w:cs="宋体"/>
                <w:color w:val="000000"/>
                <w:kern w:val="0"/>
                <w:sz w:val="20"/>
                <w:szCs w:val="20"/>
              </w:rPr>
            </w:pPr>
            <w:r>
              <w:rPr>
                <w:rFonts w:ascii="宋体" w:hAnsi="宋体" w:cs="宋体"/>
                <w:color w:val="000000"/>
                <w:kern w:val="0"/>
                <w:sz w:val="20"/>
                <w:szCs w:val="20"/>
              </w:rPr>
              <w:t>13</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3164BBDD">
            <w:pPr>
              <w:widowControl/>
              <w:jc w:val="center"/>
              <w:rPr>
                <w:rFonts w:ascii="宋体" w:hAnsi="宋体" w:cs="宋体"/>
                <w:color w:val="000000"/>
                <w:kern w:val="0"/>
                <w:sz w:val="20"/>
                <w:szCs w:val="20"/>
              </w:rPr>
            </w:pPr>
          </w:p>
        </w:tc>
      </w:tr>
      <w:tr w14:paraId="208C8312">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7795557C">
            <w:pPr>
              <w:widowControl/>
              <w:jc w:val="center"/>
              <w:rPr>
                <w:rFonts w:ascii="宋体" w:hAnsi="宋体" w:cs="宋体"/>
                <w:color w:val="000000"/>
                <w:kern w:val="0"/>
                <w:sz w:val="20"/>
                <w:szCs w:val="20"/>
              </w:rPr>
            </w:pPr>
            <w:r>
              <w:rPr>
                <w:rFonts w:ascii="宋体" w:hAnsi="宋体" w:cs="宋体"/>
                <w:color w:val="000000"/>
                <w:kern w:val="0"/>
                <w:sz w:val="20"/>
                <w:szCs w:val="20"/>
              </w:rPr>
              <w:t>14</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2D729A0C">
            <w:pPr>
              <w:widowControl/>
              <w:jc w:val="center"/>
              <w:rPr>
                <w:rFonts w:ascii="宋体" w:hAnsi="宋体" w:cs="宋体"/>
                <w:color w:val="000000"/>
                <w:kern w:val="0"/>
                <w:sz w:val="20"/>
                <w:szCs w:val="20"/>
              </w:rPr>
            </w:pPr>
          </w:p>
        </w:tc>
      </w:tr>
      <w:tr w14:paraId="7DABEA45">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498D12AB">
            <w:pPr>
              <w:widowControl/>
              <w:jc w:val="center"/>
              <w:rPr>
                <w:rFonts w:ascii="宋体" w:hAnsi="宋体" w:cs="宋体"/>
                <w:color w:val="000000"/>
                <w:kern w:val="0"/>
                <w:sz w:val="20"/>
                <w:szCs w:val="20"/>
              </w:rPr>
            </w:pPr>
            <w:r>
              <w:rPr>
                <w:rFonts w:ascii="宋体" w:hAnsi="宋体" w:cs="宋体"/>
                <w:color w:val="000000"/>
                <w:kern w:val="0"/>
                <w:sz w:val="20"/>
                <w:szCs w:val="20"/>
              </w:rPr>
              <w:t>15</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36DAA9AC">
            <w:pPr>
              <w:widowControl/>
              <w:jc w:val="center"/>
              <w:rPr>
                <w:rFonts w:ascii="宋体" w:hAnsi="宋体" w:cs="宋体"/>
                <w:color w:val="000000"/>
                <w:kern w:val="0"/>
                <w:sz w:val="20"/>
                <w:szCs w:val="20"/>
              </w:rPr>
            </w:pPr>
          </w:p>
        </w:tc>
      </w:tr>
      <w:tr w14:paraId="227CA3E2">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47476183">
            <w:pPr>
              <w:widowControl/>
              <w:jc w:val="center"/>
              <w:rPr>
                <w:rFonts w:ascii="宋体" w:hAnsi="宋体" w:cs="宋体"/>
                <w:color w:val="000000"/>
                <w:kern w:val="0"/>
                <w:sz w:val="20"/>
                <w:szCs w:val="20"/>
              </w:rPr>
            </w:pPr>
            <w:r>
              <w:rPr>
                <w:rFonts w:ascii="宋体" w:hAnsi="宋体" w:cs="宋体"/>
                <w:color w:val="000000"/>
                <w:kern w:val="0"/>
                <w:sz w:val="20"/>
                <w:szCs w:val="20"/>
              </w:rPr>
              <w:t>16</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146FDCF7">
            <w:pPr>
              <w:widowControl/>
              <w:jc w:val="center"/>
              <w:rPr>
                <w:rFonts w:ascii="宋体" w:hAnsi="宋体" w:cs="宋体"/>
                <w:color w:val="000000"/>
                <w:kern w:val="0"/>
                <w:sz w:val="20"/>
                <w:szCs w:val="20"/>
              </w:rPr>
            </w:pPr>
          </w:p>
        </w:tc>
      </w:tr>
      <w:tr w14:paraId="614D3C2C">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22A7D8C4">
            <w:pPr>
              <w:widowControl/>
              <w:jc w:val="center"/>
              <w:rPr>
                <w:rFonts w:ascii="宋体" w:hAnsi="宋体" w:cs="宋体"/>
                <w:color w:val="000000"/>
                <w:kern w:val="0"/>
                <w:sz w:val="20"/>
                <w:szCs w:val="20"/>
              </w:rPr>
            </w:pPr>
            <w:r>
              <w:rPr>
                <w:rFonts w:ascii="宋体" w:hAnsi="宋体" w:cs="宋体"/>
                <w:color w:val="000000"/>
                <w:kern w:val="0"/>
                <w:sz w:val="20"/>
                <w:szCs w:val="20"/>
              </w:rPr>
              <w:t>17</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28DDD551">
            <w:pPr>
              <w:widowControl/>
              <w:jc w:val="center"/>
              <w:rPr>
                <w:rFonts w:ascii="宋体" w:hAnsi="宋体" w:cs="宋体"/>
                <w:color w:val="000000"/>
                <w:kern w:val="0"/>
                <w:sz w:val="20"/>
                <w:szCs w:val="20"/>
              </w:rPr>
            </w:pPr>
          </w:p>
        </w:tc>
      </w:tr>
      <w:tr w14:paraId="5FC53BB5">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6B0A4337">
            <w:pPr>
              <w:widowControl/>
              <w:jc w:val="center"/>
              <w:rPr>
                <w:rFonts w:ascii="宋体" w:hAnsi="宋体" w:cs="宋体"/>
                <w:color w:val="000000"/>
                <w:kern w:val="0"/>
                <w:sz w:val="20"/>
                <w:szCs w:val="20"/>
              </w:rPr>
            </w:pPr>
            <w:r>
              <w:rPr>
                <w:rFonts w:ascii="宋体" w:hAnsi="宋体" w:cs="宋体"/>
                <w:color w:val="000000"/>
                <w:kern w:val="0"/>
                <w:sz w:val="20"/>
                <w:szCs w:val="20"/>
              </w:rPr>
              <w:t>18</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77039703">
            <w:pPr>
              <w:widowControl/>
              <w:jc w:val="center"/>
              <w:rPr>
                <w:rFonts w:ascii="宋体" w:hAnsi="宋体" w:cs="宋体"/>
                <w:color w:val="000000"/>
                <w:kern w:val="0"/>
                <w:sz w:val="20"/>
                <w:szCs w:val="20"/>
              </w:rPr>
            </w:pPr>
          </w:p>
        </w:tc>
      </w:tr>
      <w:tr w14:paraId="04ADF9C9">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2C908511">
            <w:pPr>
              <w:widowControl/>
              <w:jc w:val="center"/>
              <w:rPr>
                <w:rFonts w:ascii="宋体" w:hAnsi="宋体" w:cs="宋体"/>
                <w:color w:val="000000"/>
                <w:kern w:val="0"/>
                <w:sz w:val="20"/>
                <w:szCs w:val="20"/>
              </w:rPr>
            </w:pPr>
            <w:r>
              <w:rPr>
                <w:rFonts w:ascii="宋体" w:hAnsi="宋体" w:cs="宋体"/>
                <w:color w:val="000000"/>
                <w:kern w:val="0"/>
                <w:sz w:val="20"/>
                <w:szCs w:val="20"/>
              </w:rPr>
              <w:t>19</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52F7BA2C">
            <w:pPr>
              <w:widowControl/>
              <w:jc w:val="center"/>
              <w:rPr>
                <w:rFonts w:ascii="宋体" w:hAnsi="宋体" w:cs="宋体"/>
                <w:color w:val="000000"/>
                <w:kern w:val="0"/>
                <w:sz w:val="20"/>
                <w:szCs w:val="20"/>
              </w:rPr>
            </w:pPr>
          </w:p>
        </w:tc>
      </w:tr>
      <w:tr w14:paraId="59B01704">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215458A8">
            <w:pPr>
              <w:widowControl/>
              <w:jc w:val="center"/>
              <w:rPr>
                <w:rFonts w:ascii="宋体" w:hAnsi="宋体" w:cs="宋体"/>
                <w:color w:val="000000"/>
                <w:kern w:val="0"/>
                <w:sz w:val="20"/>
                <w:szCs w:val="20"/>
              </w:rPr>
            </w:pPr>
            <w:r>
              <w:rPr>
                <w:rFonts w:ascii="宋体" w:hAnsi="宋体" w:cs="宋体"/>
                <w:color w:val="000000"/>
                <w:kern w:val="0"/>
                <w:sz w:val="20"/>
                <w:szCs w:val="20"/>
              </w:rPr>
              <w:t>20</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37AF4328">
            <w:pPr>
              <w:widowControl/>
              <w:jc w:val="center"/>
              <w:rPr>
                <w:rFonts w:ascii="宋体" w:hAnsi="宋体" w:cs="宋体"/>
                <w:color w:val="000000"/>
                <w:kern w:val="0"/>
                <w:sz w:val="20"/>
                <w:szCs w:val="20"/>
              </w:rPr>
            </w:pPr>
          </w:p>
        </w:tc>
      </w:tr>
      <w:tr w14:paraId="2F9BD931">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536FEB37">
            <w:pPr>
              <w:widowControl/>
              <w:jc w:val="center"/>
              <w:rPr>
                <w:rFonts w:ascii="宋体" w:hAnsi="宋体" w:cs="宋体"/>
                <w:color w:val="000000"/>
                <w:kern w:val="0"/>
                <w:sz w:val="20"/>
                <w:szCs w:val="20"/>
              </w:rPr>
            </w:pPr>
            <w:r>
              <w:rPr>
                <w:rFonts w:ascii="宋体" w:hAnsi="宋体" w:cs="宋体"/>
                <w:color w:val="000000"/>
                <w:kern w:val="0"/>
                <w:sz w:val="20"/>
                <w:szCs w:val="20"/>
              </w:rPr>
              <w:t>21</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2387E654">
            <w:pPr>
              <w:widowControl/>
              <w:jc w:val="center"/>
              <w:rPr>
                <w:rFonts w:ascii="宋体" w:hAnsi="宋体" w:cs="宋体"/>
                <w:color w:val="000000"/>
                <w:kern w:val="0"/>
                <w:sz w:val="20"/>
                <w:szCs w:val="20"/>
              </w:rPr>
            </w:pPr>
          </w:p>
        </w:tc>
      </w:tr>
      <w:tr w14:paraId="3760D5C1">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08E7FAE1">
            <w:pPr>
              <w:widowControl/>
              <w:jc w:val="center"/>
              <w:rPr>
                <w:rFonts w:ascii="宋体" w:hAnsi="宋体" w:cs="宋体"/>
                <w:color w:val="000000"/>
                <w:kern w:val="0"/>
                <w:sz w:val="20"/>
                <w:szCs w:val="20"/>
              </w:rPr>
            </w:pPr>
            <w:r>
              <w:rPr>
                <w:rFonts w:ascii="宋体" w:hAnsi="宋体" w:cs="宋体"/>
                <w:color w:val="000000"/>
                <w:kern w:val="0"/>
                <w:sz w:val="20"/>
                <w:szCs w:val="20"/>
              </w:rPr>
              <w:t>22</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41CB82AC">
            <w:pPr>
              <w:widowControl/>
              <w:jc w:val="center"/>
              <w:rPr>
                <w:rFonts w:ascii="宋体" w:hAnsi="宋体" w:cs="宋体"/>
                <w:color w:val="000000"/>
                <w:kern w:val="0"/>
                <w:sz w:val="20"/>
                <w:szCs w:val="20"/>
              </w:rPr>
            </w:pPr>
          </w:p>
        </w:tc>
      </w:tr>
      <w:tr w14:paraId="5A085ED9">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18F51BB7">
            <w:pPr>
              <w:widowControl/>
              <w:jc w:val="center"/>
              <w:rPr>
                <w:rFonts w:ascii="宋体" w:hAnsi="宋体" w:cs="宋体"/>
                <w:color w:val="000000"/>
                <w:kern w:val="0"/>
                <w:sz w:val="20"/>
                <w:szCs w:val="20"/>
              </w:rPr>
            </w:pPr>
            <w:r>
              <w:rPr>
                <w:rFonts w:ascii="宋体" w:hAnsi="宋体" w:cs="宋体"/>
                <w:color w:val="000000"/>
                <w:kern w:val="0"/>
                <w:sz w:val="20"/>
                <w:szCs w:val="20"/>
              </w:rPr>
              <w:t>23</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02D90102">
            <w:pPr>
              <w:widowControl/>
              <w:jc w:val="center"/>
              <w:rPr>
                <w:rFonts w:ascii="宋体" w:hAnsi="宋体" w:cs="宋体"/>
                <w:color w:val="000000"/>
                <w:kern w:val="0"/>
                <w:sz w:val="20"/>
                <w:szCs w:val="20"/>
              </w:rPr>
            </w:pPr>
          </w:p>
        </w:tc>
      </w:tr>
      <w:tr w14:paraId="0560D722">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0E2BA2B9">
            <w:pPr>
              <w:widowControl/>
              <w:jc w:val="center"/>
              <w:rPr>
                <w:rFonts w:ascii="宋体" w:hAnsi="宋体" w:cs="宋体"/>
                <w:color w:val="000000"/>
                <w:kern w:val="0"/>
                <w:sz w:val="20"/>
                <w:szCs w:val="20"/>
              </w:rPr>
            </w:pPr>
            <w:r>
              <w:rPr>
                <w:rFonts w:ascii="宋体" w:hAnsi="宋体" w:cs="宋体"/>
                <w:color w:val="000000"/>
                <w:kern w:val="0"/>
                <w:sz w:val="20"/>
                <w:szCs w:val="20"/>
              </w:rPr>
              <w:t>24</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250D2C15">
            <w:pPr>
              <w:widowControl/>
              <w:jc w:val="center"/>
              <w:rPr>
                <w:rFonts w:ascii="宋体" w:hAnsi="宋体" w:cs="宋体"/>
                <w:color w:val="000000"/>
                <w:kern w:val="0"/>
                <w:sz w:val="20"/>
                <w:szCs w:val="20"/>
              </w:rPr>
            </w:pPr>
          </w:p>
        </w:tc>
      </w:tr>
      <w:tr w14:paraId="77CC3A8B">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6F29DAFC">
            <w:pPr>
              <w:widowControl/>
              <w:jc w:val="center"/>
              <w:rPr>
                <w:rFonts w:ascii="宋体" w:hAnsi="宋体" w:cs="宋体"/>
                <w:color w:val="000000"/>
                <w:kern w:val="0"/>
                <w:sz w:val="20"/>
                <w:szCs w:val="20"/>
              </w:rPr>
            </w:pPr>
            <w:r>
              <w:rPr>
                <w:rFonts w:ascii="宋体" w:hAnsi="宋体" w:cs="宋体"/>
                <w:color w:val="000000"/>
                <w:kern w:val="0"/>
                <w:sz w:val="20"/>
                <w:szCs w:val="20"/>
              </w:rPr>
              <w:t>25</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15A50C0E">
            <w:pPr>
              <w:widowControl/>
              <w:jc w:val="center"/>
              <w:rPr>
                <w:rFonts w:ascii="宋体" w:hAnsi="宋体" w:cs="宋体"/>
                <w:color w:val="000000"/>
                <w:kern w:val="0"/>
                <w:sz w:val="20"/>
                <w:szCs w:val="20"/>
              </w:rPr>
            </w:pPr>
          </w:p>
        </w:tc>
      </w:tr>
      <w:tr w14:paraId="58E31F99">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70EECEF2">
            <w:pPr>
              <w:widowControl/>
              <w:jc w:val="center"/>
              <w:rPr>
                <w:rFonts w:ascii="宋体" w:hAnsi="宋体" w:cs="宋体"/>
                <w:color w:val="000000"/>
                <w:kern w:val="0"/>
                <w:sz w:val="20"/>
                <w:szCs w:val="20"/>
              </w:rPr>
            </w:pPr>
            <w:r>
              <w:rPr>
                <w:rFonts w:ascii="宋体" w:hAnsi="宋体" w:cs="宋体"/>
                <w:color w:val="000000"/>
                <w:kern w:val="0"/>
                <w:sz w:val="20"/>
                <w:szCs w:val="20"/>
              </w:rPr>
              <w:t>25年总发电量</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068FE223">
            <w:pPr>
              <w:widowControl/>
              <w:jc w:val="center"/>
              <w:rPr>
                <w:rFonts w:ascii="宋体" w:hAnsi="宋体" w:cs="宋体"/>
                <w:color w:val="000000"/>
                <w:kern w:val="0"/>
                <w:sz w:val="20"/>
                <w:szCs w:val="20"/>
              </w:rPr>
            </w:pPr>
          </w:p>
        </w:tc>
      </w:tr>
      <w:tr w14:paraId="17B21F62">
        <w:tblPrEx>
          <w:tblCellMar>
            <w:top w:w="0" w:type="dxa"/>
            <w:left w:w="108" w:type="dxa"/>
            <w:bottom w:w="0" w:type="dxa"/>
            <w:right w:w="108" w:type="dxa"/>
          </w:tblCellMar>
        </w:tblPrEx>
        <w:trPr>
          <w:trHeight w:val="360" w:hRule="atLeast"/>
        </w:trPr>
        <w:tc>
          <w:tcPr>
            <w:tcW w:w="3397" w:type="dxa"/>
            <w:tcBorders>
              <w:top w:val="single" w:color="000000" w:sz="4" w:space="0"/>
              <w:left w:val="single" w:color="000000" w:sz="4" w:space="0"/>
              <w:bottom w:val="single" w:color="000000" w:sz="4" w:space="0"/>
              <w:right w:val="single" w:color="000000" w:sz="4" w:space="0"/>
            </w:tcBorders>
            <w:noWrap/>
            <w:vAlign w:val="center"/>
          </w:tcPr>
          <w:p w14:paraId="1C4003FB">
            <w:pPr>
              <w:widowControl/>
              <w:jc w:val="center"/>
              <w:rPr>
                <w:rFonts w:ascii="宋体" w:hAnsi="宋体" w:cs="宋体"/>
                <w:color w:val="000000"/>
                <w:kern w:val="0"/>
                <w:sz w:val="20"/>
                <w:szCs w:val="20"/>
              </w:rPr>
            </w:pPr>
            <w:r>
              <w:rPr>
                <w:rFonts w:ascii="宋体" w:hAnsi="宋体" w:cs="宋体"/>
                <w:color w:val="000000"/>
                <w:kern w:val="0"/>
                <w:sz w:val="20"/>
                <w:szCs w:val="20"/>
              </w:rPr>
              <w:t>25年平均电量</w:t>
            </w:r>
          </w:p>
        </w:tc>
        <w:tc>
          <w:tcPr>
            <w:tcW w:w="5529" w:type="dxa"/>
            <w:tcBorders>
              <w:top w:val="single" w:color="000000" w:sz="4" w:space="0"/>
              <w:left w:val="single" w:color="000000" w:sz="4" w:space="0"/>
              <w:bottom w:val="single" w:color="000000" w:sz="4" w:space="0"/>
              <w:right w:val="single" w:color="000000" w:sz="4" w:space="0"/>
            </w:tcBorders>
            <w:noWrap/>
            <w:vAlign w:val="center"/>
          </w:tcPr>
          <w:p w14:paraId="3B5A711C">
            <w:pPr>
              <w:widowControl/>
              <w:jc w:val="center"/>
              <w:rPr>
                <w:rFonts w:ascii="宋体" w:hAnsi="宋体" w:cs="宋体"/>
                <w:color w:val="000000"/>
                <w:kern w:val="0"/>
                <w:sz w:val="20"/>
                <w:szCs w:val="20"/>
              </w:rPr>
            </w:pPr>
          </w:p>
        </w:tc>
      </w:tr>
    </w:tbl>
    <w:p w14:paraId="28A68243">
      <w:pPr>
        <w:spacing w:line="500" w:lineRule="exact"/>
      </w:pPr>
    </w:p>
    <w:sectPr>
      <w:headerReference r:id="rId9" w:type="default"/>
      <w:footerReference r:id="rId10"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C6D9D45-3AB2-4F24-B083-D1D9B97294D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华文楷体">
    <w:altName w:val="楷体_GB2312"/>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688D0945-2DE2-4CA3-B571-6FFE40973C14}"/>
  </w:font>
  <w:font w:name="仿宋_GB2312">
    <w:panose1 w:val="02010609030101010101"/>
    <w:charset w:val="86"/>
    <w:family w:val="modern"/>
    <w:pitch w:val="default"/>
    <w:sig w:usb0="00000001" w:usb1="080E0000" w:usb2="00000000" w:usb3="00000000" w:csb0="00040000" w:csb1="00000000"/>
    <w:embedRegular r:id="rId3" w:fontKey="{C0B2E6C6-B99D-458E-832E-D04F7B488641}"/>
  </w:font>
  <w:font w:name="Arial Unicode MS">
    <w:panose1 w:val="020B0604020202020204"/>
    <w:charset w:val="80"/>
    <w:family w:val="swiss"/>
    <w:pitch w:val="default"/>
    <w:sig w:usb0="F7FFAEFF" w:usb1="F9DFFFFF" w:usb2="0000007F" w:usb3="00000000" w:csb0="203F01FF" w:csb1="DFFF0000"/>
    <w:embedRegular r:id="rId4" w:fontKey="{3A002910-AFF9-4575-BF26-225B2B510C2A}"/>
  </w:font>
  <w:font w:name="WPSEMBED1">
    <w:panose1 w:val="020B0604020202020204"/>
    <w:charset w:val="86"/>
    <w:family w:val="auto"/>
    <w:pitch w:val="default"/>
    <w:sig w:usb0="F7FFAEFF" w:usb1="F9DFFFFF" w:usb2="0000007F" w:usb3="00000000" w:csb0="203F01FF" w:csb1="D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E86D1">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708AE">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BF527">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D2412">
    <w:pPr>
      <w:pStyle w:val="9"/>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79F39">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9FEE0">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71A9F">
    <w:pPr>
      <w:pStyle w:val="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C2CD0">
    <w:pPr>
      <w:pStyle w:val="7"/>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4F48"/>
    <w:rsid w:val="00077CF8"/>
    <w:rsid w:val="00091512"/>
    <w:rsid w:val="000B30A0"/>
    <w:rsid w:val="00102970"/>
    <w:rsid w:val="00105B40"/>
    <w:rsid w:val="00142583"/>
    <w:rsid w:val="001604C4"/>
    <w:rsid w:val="00165162"/>
    <w:rsid w:val="00172A27"/>
    <w:rsid w:val="001C7420"/>
    <w:rsid w:val="001F04B2"/>
    <w:rsid w:val="001F5003"/>
    <w:rsid w:val="00201EC1"/>
    <w:rsid w:val="00246049"/>
    <w:rsid w:val="00254D96"/>
    <w:rsid w:val="00267B34"/>
    <w:rsid w:val="002A58B5"/>
    <w:rsid w:val="002B5FBD"/>
    <w:rsid w:val="002D71CC"/>
    <w:rsid w:val="002F3053"/>
    <w:rsid w:val="0036287D"/>
    <w:rsid w:val="00385E9B"/>
    <w:rsid w:val="00394750"/>
    <w:rsid w:val="003A473D"/>
    <w:rsid w:val="00427D6A"/>
    <w:rsid w:val="00436FD2"/>
    <w:rsid w:val="00464616"/>
    <w:rsid w:val="00496DA0"/>
    <w:rsid w:val="004B06D2"/>
    <w:rsid w:val="004B0E6F"/>
    <w:rsid w:val="004F1F62"/>
    <w:rsid w:val="00502584"/>
    <w:rsid w:val="005D2271"/>
    <w:rsid w:val="00616F2B"/>
    <w:rsid w:val="00617AD6"/>
    <w:rsid w:val="00635C37"/>
    <w:rsid w:val="006812FB"/>
    <w:rsid w:val="007D00D9"/>
    <w:rsid w:val="007E3F1F"/>
    <w:rsid w:val="00825747"/>
    <w:rsid w:val="00895BE1"/>
    <w:rsid w:val="008B5F9A"/>
    <w:rsid w:val="008B6E84"/>
    <w:rsid w:val="008F5E2C"/>
    <w:rsid w:val="00906B81"/>
    <w:rsid w:val="0093298C"/>
    <w:rsid w:val="00953021"/>
    <w:rsid w:val="00971DBF"/>
    <w:rsid w:val="009743F7"/>
    <w:rsid w:val="00980B4D"/>
    <w:rsid w:val="00993B73"/>
    <w:rsid w:val="009E5AED"/>
    <w:rsid w:val="00A87F74"/>
    <w:rsid w:val="00AC28EA"/>
    <w:rsid w:val="00AC3F1C"/>
    <w:rsid w:val="00AE0B02"/>
    <w:rsid w:val="00AE2189"/>
    <w:rsid w:val="00AF0AEE"/>
    <w:rsid w:val="00AF3A73"/>
    <w:rsid w:val="00B21F8C"/>
    <w:rsid w:val="00B433CB"/>
    <w:rsid w:val="00B9728A"/>
    <w:rsid w:val="00BA209F"/>
    <w:rsid w:val="00BA5E78"/>
    <w:rsid w:val="00BD1F1E"/>
    <w:rsid w:val="00BD3351"/>
    <w:rsid w:val="00BD4B6E"/>
    <w:rsid w:val="00BF3D57"/>
    <w:rsid w:val="00C00305"/>
    <w:rsid w:val="00C26F3C"/>
    <w:rsid w:val="00C3619D"/>
    <w:rsid w:val="00C75103"/>
    <w:rsid w:val="00C8062E"/>
    <w:rsid w:val="00C81377"/>
    <w:rsid w:val="00C8759C"/>
    <w:rsid w:val="00CA12BD"/>
    <w:rsid w:val="00CF32B9"/>
    <w:rsid w:val="00D44EF0"/>
    <w:rsid w:val="00D76000"/>
    <w:rsid w:val="00D76C3E"/>
    <w:rsid w:val="00D865A0"/>
    <w:rsid w:val="00DC191E"/>
    <w:rsid w:val="00E521F7"/>
    <w:rsid w:val="00E7604D"/>
    <w:rsid w:val="00ED55CE"/>
    <w:rsid w:val="00F066C0"/>
    <w:rsid w:val="00F254E5"/>
    <w:rsid w:val="00F95740"/>
    <w:rsid w:val="00FF4C65"/>
    <w:rsid w:val="01A00C4B"/>
    <w:rsid w:val="03074E87"/>
    <w:rsid w:val="03DD1E2E"/>
    <w:rsid w:val="04313670"/>
    <w:rsid w:val="08A62E8A"/>
    <w:rsid w:val="0BBD4507"/>
    <w:rsid w:val="0C825B1D"/>
    <w:rsid w:val="0DBE4B1B"/>
    <w:rsid w:val="0EB477D4"/>
    <w:rsid w:val="0F3103AB"/>
    <w:rsid w:val="0F500369"/>
    <w:rsid w:val="0F6964B5"/>
    <w:rsid w:val="10A5627E"/>
    <w:rsid w:val="114A726B"/>
    <w:rsid w:val="124B77F0"/>
    <w:rsid w:val="12D469A6"/>
    <w:rsid w:val="14F275B8"/>
    <w:rsid w:val="15B50D11"/>
    <w:rsid w:val="16421E79"/>
    <w:rsid w:val="16930926"/>
    <w:rsid w:val="17D631C0"/>
    <w:rsid w:val="1ADF13A6"/>
    <w:rsid w:val="1BCD6688"/>
    <w:rsid w:val="1C5C6633"/>
    <w:rsid w:val="1F3A5DE3"/>
    <w:rsid w:val="1FE32E4A"/>
    <w:rsid w:val="220D3C83"/>
    <w:rsid w:val="22E752F7"/>
    <w:rsid w:val="231F4DAE"/>
    <w:rsid w:val="240B6E9C"/>
    <w:rsid w:val="25382732"/>
    <w:rsid w:val="25AC31DE"/>
    <w:rsid w:val="266D28A6"/>
    <w:rsid w:val="26E37F8A"/>
    <w:rsid w:val="27850136"/>
    <w:rsid w:val="2C0C79D5"/>
    <w:rsid w:val="2CD10A17"/>
    <w:rsid w:val="2D57389B"/>
    <w:rsid w:val="2D5B64F2"/>
    <w:rsid w:val="2DB47F1E"/>
    <w:rsid w:val="2E9D52C8"/>
    <w:rsid w:val="2FA12DB4"/>
    <w:rsid w:val="2FA20835"/>
    <w:rsid w:val="3195263C"/>
    <w:rsid w:val="32002EBC"/>
    <w:rsid w:val="327948EC"/>
    <w:rsid w:val="338B2C9B"/>
    <w:rsid w:val="352D5951"/>
    <w:rsid w:val="382B2D77"/>
    <w:rsid w:val="38A96204"/>
    <w:rsid w:val="3B5A1AC2"/>
    <w:rsid w:val="3B7010B2"/>
    <w:rsid w:val="3BEB0850"/>
    <w:rsid w:val="3D0E59F4"/>
    <w:rsid w:val="3D695DB9"/>
    <w:rsid w:val="403E1AF3"/>
    <w:rsid w:val="40E045E4"/>
    <w:rsid w:val="417222CF"/>
    <w:rsid w:val="423A60B6"/>
    <w:rsid w:val="42D001A0"/>
    <w:rsid w:val="431D11DC"/>
    <w:rsid w:val="446D237C"/>
    <w:rsid w:val="46B75DE7"/>
    <w:rsid w:val="4707436A"/>
    <w:rsid w:val="491D5CAA"/>
    <w:rsid w:val="4A4B0F65"/>
    <w:rsid w:val="4A595408"/>
    <w:rsid w:val="4A7A4478"/>
    <w:rsid w:val="4C4A14AC"/>
    <w:rsid w:val="4C8C73CE"/>
    <w:rsid w:val="4EF120B3"/>
    <w:rsid w:val="4F4421E2"/>
    <w:rsid w:val="51583D23"/>
    <w:rsid w:val="51996A1E"/>
    <w:rsid w:val="545B29F3"/>
    <w:rsid w:val="551E7032"/>
    <w:rsid w:val="56C836F9"/>
    <w:rsid w:val="575C02E5"/>
    <w:rsid w:val="57E31E6E"/>
    <w:rsid w:val="592A6D95"/>
    <w:rsid w:val="5B47755D"/>
    <w:rsid w:val="5B8E5344"/>
    <w:rsid w:val="5C0C4088"/>
    <w:rsid w:val="5CB73B2D"/>
    <w:rsid w:val="5CC81505"/>
    <w:rsid w:val="5D911291"/>
    <w:rsid w:val="5E5A453C"/>
    <w:rsid w:val="5E9640DD"/>
    <w:rsid w:val="600F05EB"/>
    <w:rsid w:val="602A5424"/>
    <w:rsid w:val="61BE4076"/>
    <w:rsid w:val="631100BC"/>
    <w:rsid w:val="64BD5616"/>
    <w:rsid w:val="64E02555"/>
    <w:rsid w:val="664663E8"/>
    <w:rsid w:val="66D428EC"/>
    <w:rsid w:val="67C65A33"/>
    <w:rsid w:val="67C768E0"/>
    <w:rsid w:val="68715A86"/>
    <w:rsid w:val="69583BF5"/>
    <w:rsid w:val="6A7C5B99"/>
    <w:rsid w:val="6ACA583A"/>
    <w:rsid w:val="6BF80185"/>
    <w:rsid w:val="6DA736DA"/>
    <w:rsid w:val="70427A3C"/>
    <w:rsid w:val="70480FAF"/>
    <w:rsid w:val="71FC7DA9"/>
    <w:rsid w:val="74E90FB2"/>
    <w:rsid w:val="75D83866"/>
    <w:rsid w:val="76DD5312"/>
    <w:rsid w:val="77331B67"/>
    <w:rsid w:val="777E0714"/>
    <w:rsid w:val="785C1A9B"/>
    <w:rsid w:val="78A162AC"/>
    <w:rsid w:val="79707849"/>
    <w:rsid w:val="79C23DD0"/>
    <w:rsid w:val="7BB413D5"/>
    <w:rsid w:val="7C3206D2"/>
    <w:rsid w:val="7D1626C8"/>
    <w:rsid w:val="7E8C722C"/>
    <w:rsid w:val="7E9F119C"/>
    <w:rsid w:val="7EB77446"/>
    <w:rsid w:val="7EEC6C49"/>
    <w:rsid w:val="7F7D6CC7"/>
    <w:rsid w:val="BBBEF07D"/>
    <w:rsid w:val="DB764486"/>
    <w:rsid w:val="E56F3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0"/>
    <w:pPr>
      <w:spacing w:before="380" w:after="140" w:line="288" w:lineRule="auto"/>
      <w:outlineLvl w:val="0"/>
    </w:pPr>
    <w:rPr>
      <w:rFonts w:ascii="Arial" w:hAnsi="Arial" w:eastAsia="等线" w:cs="Arial"/>
      <w:b/>
      <w:sz w:val="36"/>
      <w:szCs w:val="36"/>
    </w:rPr>
  </w:style>
  <w:style w:type="paragraph" w:styleId="3">
    <w:name w:val="heading 2"/>
    <w:basedOn w:val="1"/>
    <w:next w:val="1"/>
    <w:unhideWhenUsed/>
    <w:qFormat/>
    <w:uiPriority w:val="9"/>
    <w:pPr>
      <w:keepNext/>
      <w:keepLines/>
      <w:spacing w:before="260" w:after="260" w:line="416" w:lineRule="auto"/>
      <w:outlineLvl w:val="1"/>
    </w:pPr>
    <w:rPr>
      <w:rFonts w:hint="eastAsia" w:ascii="等线 Light" w:hAnsi="等线 Light" w:eastAsia="等线 Light" w:cs="Times New Roman"/>
      <w:b/>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toa heading"/>
    <w:basedOn w:val="1"/>
    <w:next w:val="1"/>
    <w:unhideWhenUsed/>
    <w:qFormat/>
    <w:uiPriority w:val="99"/>
    <w:pPr>
      <w:spacing w:before="120"/>
    </w:pPr>
    <w:rPr>
      <w:rFonts w:ascii="Arial" w:hAnsi="Arial"/>
      <w:sz w:val="24"/>
      <w:szCs w:val="20"/>
    </w:rPr>
  </w:style>
  <w:style w:type="paragraph" w:styleId="5">
    <w:name w:val="annotation text"/>
    <w:basedOn w:val="1"/>
    <w:link w:val="26"/>
    <w:qFormat/>
    <w:uiPriority w:val="0"/>
    <w:pPr>
      <w:jc w:val="left"/>
    </w:pPr>
  </w:style>
  <w:style w:type="paragraph" w:styleId="6">
    <w:name w:val="Body Text"/>
    <w:basedOn w:val="1"/>
    <w:next w:val="7"/>
    <w:unhideWhenUsed/>
    <w:qFormat/>
    <w:uiPriority w:val="99"/>
    <w:pPr>
      <w:spacing w:after="120"/>
    </w:pPr>
    <w:rPr>
      <w:rFonts w:hint="eastAsia"/>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8">
    <w:name w:val="Date"/>
    <w:basedOn w:val="1"/>
    <w:next w:val="1"/>
    <w:link w:val="29"/>
    <w:qFormat/>
    <w:uiPriority w:val="0"/>
    <w:pPr>
      <w:ind w:left="100" w:leftChars="2500"/>
    </w:pPr>
  </w:style>
  <w:style w:type="paragraph" w:styleId="9">
    <w:name w:val="footer"/>
    <w:basedOn w:val="1"/>
    <w:link w:val="24"/>
    <w:unhideWhenUsed/>
    <w:qFormat/>
    <w:uiPriority w:val="99"/>
    <w:pPr>
      <w:tabs>
        <w:tab w:val="center" w:pos="4153"/>
        <w:tab w:val="right" w:pos="8306"/>
      </w:tabs>
      <w:snapToGrid w:val="0"/>
      <w:jc w:val="left"/>
    </w:pPr>
    <w:rPr>
      <w:rFonts w:ascii="Calibri" w:hAnsi="Calibri"/>
      <w:kern w:val="0"/>
      <w:sz w:val="18"/>
      <w:szCs w:val="18"/>
    </w:rPr>
  </w:style>
  <w:style w:type="paragraph" w:styleId="10">
    <w:name w:val="toc 1"/>
    <w:basedOn w:val="1"/>
    <w:next w:val="1"/>
    <w:unhideWhenUsed/>
    <w:qFormat/>
    <w:uiPriority w:val="39"/>
  </w:style>
  <w:style w:type="paragraph" w:styleId="11">
    <w:name w:val="annotation subject"/>
    <w:basedOn w:val="5"/>
    <w:next w:val="5"/>
    <w:link w:val="27"/>
    <w:qFormat/>
    <w:uiPriority w:val="0"/>
    <w:rPr>
      <w:b/>
      <w:bCs/>
    </w:rPr>
  </w:style>
  <w:style w:type="character" w:styleId="14">
    <w:name w:val="Strong"/>
    <w:basedOn w:val="13"/>
    <w:qFormat/>
    <w:uiPriority w:val="0"/>
    <w:rPr>
      <w:b/>
    </w:rPr>
  </w:style>
  <w:style w:type="character" w:styleId="15">
    <w:name w:val="Hyperlink"/>
    <w:basedOn w:val="13"/>
    <w:unhideWhenUsed/>
    <w:qFormat/>
    <w:uiPriority w:val="99"/>
    <w:rPr>
      <w:rFonts w:hint="default"/>
      <w:color w:val="0000FF"/>
      <w:sz w:val="24"/>
      <w:szCs w:val="24"/>
      <w:u w:val="single"/>
    </w:rPr>
  </w:style>
  <w:style w:type="character" w:styleId="16">
    <w:name w:val="annotation reference"/>
    <w:basedOn w:val="13"/>
    <w:qFormat/>
    <w:uiPriority w:val="0"/>
    <w:rPr>
      <w:sz w:val="21"/>
      <w:szCs w:val="21"/>
    </w:rPr>
  </w:style>
  <w:style w:type="paragraph" w:customStyle="1" w:styleId="17">
    <w:name w:val="Center"/>
    <w:basedOn w:val="1"/>
    <w:unhideWhenUsed/>
    <w:qFormat/>
    <w:uiPriority w:val="0"/>
    <w:pPr>
      <w:spacing w:after="240" w:line="380" w:lineRule="exact"/>
      <w:jc w:val="center"/>
    </w:pPr>
    <w:rPr>
      <w:rFonts w:eastAsia="华文楷体"/>
      <w:sz w:val="28"/>
      <w:szCs w:val="28"/>
      <w:lang w:eastAsia="zh-TW"/>
    </w:rPr>
  </w:style>
  <w:style w:type="paragraph" w:customStyle="1" w:styleId="18">
    <w:name w:val="列出段落1"/>
    <w:basedOn w:val="1"/>
    <w:unhideWhenUsed/>
    <w:qFormat/>
    <w:uiPriority w:val="99"/>
    <w:pPr>
      <w:widowControl/>
      <w:ind w:firstLine="420" w:firstLineChars="200"/>
    </w:pPr>
    <w:rPr>
      <w:rFonts w:cs="Times New Roman"/>
      <w:szCs w:val="22"/>
    </w:rPr>
  </w:style>
  <w:style w:type="paragraph" w:customStyle="1" w:styleId="19">
    <w:name w:val="_Style 13"/>
    <w:unhideWhenUsed/>
    <w:qFormat/>
    <w:uiPriority w:val="99"/>
    <w:rPr>
      <w:rFonts w:ascii="Calibri" w:hAnsi="Calibri" w:eastAsia="宋体" w:cs="Calibri"/>
      <w:kern w:val="2"/>
      <w:sz w:val="21"/>
      <w:szCs w:val="24"/>
      <w:lang w:val="en-US" w:eastAsia="zh-CN" w:bidi="ar-SA"/>
    </w:rPr>
  </w:style>
  <w:style w:type="paragraph" w:styleId="20">
    <w:name w:val="List Paragraph"/>
    <w:basedOn w:val="1"/>
    <w:unhideWhenUsed/>
    <w:qFormat/>
    <w:uiPriority w:val="99"/>
    <w:pPr>
      <w:ind w:firstLine="420" w:firstLineChars="200"/>
    </w:pPr>
  </w:style>
  <w:style w:type="paragraph" w:customStyle="1" w:styleId="21">
    <w:name w:val="正文1"/>
    <w:basedOn w:val="1"/>
    <w:unhideWhenUsed/>
    <w:qFormat/>
    <w:uiPriority w:val="99"/>
    <w:pPr>
      <w:widowControl/>
    </w:pPr>
    <w:rPr>
      <w:rFonts w:ascii="Calibri" w:hAnsi="Calibri" w:eastAsia="宋体" w:cs="Times New Roman"/>
      <w:szCs w:val="21"/>
    </w:rPr>
  </w:style>
  <w:style w:type="paragraph" w:customStyle="1" w:styleId="22">
    <w:name w:val="无间隔1"/>
    <w:basedOn w:val="1"/>
    <w:unhideWhenUsed/>
    <w:qFormat/>
    <w:uiPriority w:val="0"/>
    <w:pPr>
      <w:spacing w:line="300" w:lineRule="auto"/>
      <w:jc w:val="left"/>
    </w:pPr>
    <w:rPr>
      <w:rFonts w:ascii="宋体" w:hAnsi="宋体" w:eastAsia="仿宋" w:cs="仿宋"/>
      <w:b/>
      <w:sz w:val="28"/>
      <w:szCs w:val="28"/>
    </w:rPr>
  </w:style>
  <w:style w:type="paragraph" w:customStyle="1" w:styleId="23">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4">
    <w:name w:val="页脚 字符"/>
    <w:basedOn w:val="13"/>
    <w:link w:val="9"/>
    <w:qFormat/>
    <w:uiPriority w:val="99"/>
    <w:rPr>
      <w:rFonts w:ascii="Calibri" w:hAnsi="Calibri"/>
      <w:sz w:val="18"/>
      <w:szCs w:val="18"/>
    </w:rPr>
  </w:style>
  <w:style w:type="paragraph" w:customStyle="1" w:styleId="25">
    <w:name w:val="修订2"/>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6">
    <w:name w:val="批注文字 字符"/>
    <w:basedOn w:val="13"/>
    <w:link w:val="5"/>
    <w:qFormat/>
    <w:uiPriority w:val="0"/>
    <w:rPr>
      <w:rFonts w:asciiTheme="minorHAnsi" w:hAnsiTheme="minorHAnsi" w:eastAsiaTheme="minorEastAsia" w:cstheme="minorBidi"/>
      <w:kern w:val="2"/>
      <w:sz w:val="21"/>
      <w:szCs w:val="24"/>
    </w:rPr>
  </w:style>
  <w:style w:type="character" w:customStyle="1" w:styleId="27">
    <w:name w:val="批注主题 字符"/>
    <w:basedOn w:val="26"/>
    <w:link w:val="11"/>
    <w:qFormat/>
    <w:uiPriority w:val="0"/>
    <w:rPr>
      <w:rFonts w:asciiTheme="minorHAnsi" w:hAnsiTheme="minorHAnsi" w:eastAsiaTheme="minorEastAsia" w:cstheme="minorBidi"/>
      <w:b/>
      <w:bCs/>
      <w:kern w:val="2"/>
      <w:sz w:val="21"/>
      <w:szCs w:val="24"/>
    </w:rPr>
  </w:style>
  <w:style w:type="paragraph" w:customStyle="1" w:styleId="28">
    <w:name w:val="修订3"/>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9">
    <w:name w:val="日期 字符"/>
    <w:basedOn w:val="13"/>
    <w:link w:val="8"/>
    <w:qFormat/>
    <w:uiPriority w:val="0"/>
    <w:rPr>
      <w:rFonts w:asciiTheme="minorHAnsi" w:hAnsiTheme="minorHAnsi" w:eastAsiaTheme="minorEastAsia" w:cstheme="minorBidi"/>
      <w:kern w:val="2"/>
      <w:sz w:val="21"/>
      <w:szCs w:val="24"/>
    </w:rPr>
  </w:style>
  <w:style w:type="paragraph" w:customStyle="1" w:styleId="30">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E8EA1-1D1E-4ADF-94A7-8B4C66E0EC07}">
  <ds:schemaRefs/>
</ds:datastoreItem>
</file>

<file path=docProps/app.xml><?xml version="1.0" encoding="utf-8"?>
<Properties xmlns="http://schemas.openxmlformats.org/officeDocument/2006/extended-properties" xmlns:vt="http://schemas.openxmlformats.org/officeDocument/2006/docPropsVTypes">
  <Template>Normal</Template>
  <Pages>21</Pages>
  <Words>11609</Words>
  <Characters>12199</Characters>
  <Lines>292</Lines>
  <Paragraphs>201</Paragraphs>
  <TotalTime>3</TotalTime>
  <ScaleCrop>false</ScaleCrop>
  <LinksUpToDate>false</LinksUpToDate>
  <CharactersWithSpaces>12469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2026-07-22T04:55:00Z</dcterms:created>
  <dc:creator>ZXA</dc:creator>
  <cp:lastModifiedBy>空人空心空世界</cp:lastModifiedBy>
  <dcterms:modified xsi:type="dcterms:W3CDTF">2026-08-26T02:00:20Z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eyJoZGlkIjoiNzU2M2Q1NDRmNTA5NmZiNWU5NTY0NTYxYjYyNzE0YTIiLCJ1c2VySWQiOiI1ODk1NDE5MTkifQ==</vt:lpwstr>
  </property>
  <property fmtid="{D5CDD505-2E9C-101B-9397-08002B2CF9AE}" pid="4" name="ICV">
    <vt:lpwstr>1237C2B9C592460E81F5907C0D339D5C_13</vt:lpwstr>
  </property>
</Properties>
</file>