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8705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物业资产租赁合同</w:t>
      </w:r>
    </w:p>
    <w:p w14:paraId="153C17F4">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rPr>
      </w:pPr>
    </w:p>
    <w:p w14:paraId="1DAB5A5A">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合同编号：___________</w:t>
      </w:r>
    </w:p>
    <w:p w14:paraId="293A7686">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082D16D7">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u w:val="single"/>
        </w:rPr>
      </w:pPr>
      <w:r>
        <w:rPr>
          <w:rFonts w:hint="eastAsia" w:ascii="仿宋" w:hAnsi="仿宋" w:eastAsia="仿宋" w:cs="仿宋"/>
          <w:sz w:val="32"/>
          <w:szCs w:val="32"/>
        </w:rPr>
        <w:t>甲方（出租方）：</w:t>
      </w:r>
      <w:r>
        <w:rPr>
          <w:rFonts w:hint="eastAsia" w:ascii="仿宋" w:hAnsi="仿宋" w:eastAsia="仿宋" w:cs="仿宋"/>
          <w:sz w:val="32"/>
          <w:szCs w:val="32"/>
          <w:u w:val="single"/>
        </w:rPr>
        <w:t>珠海市斗门品源生鲜食品有限公司</w:t>
      </w:r>
    </w:p>
    <w:p w14:paraId="5B1135D1">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rPr>
        <w:t>统一社会信用代码：</w:t>
      </w:r>
      <w:r>
        <w:rPr>
          <w:rFonts w:hint="eastAsia" w:ascii="仿宋" w:hAnsi="仿宋" w:eastAsia="仿宋" w:cs="仿宋"/>
          <w:sz w:val="32"/>
          <w:szCs w:val="32"/>
          <w:u w:val="single"/>
          <w:lang w:val="en-US" w:eastAsia="zh-CN"/>
        </w:rPr>
        <w:t>91440403MA55R3AG0E</w:t>
      </w:r>
    </w:p>
    <w:p w14:paraId="556812F9">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u w:val="single"/>
          <w:lang w:eastAsia="zh-CN"/>
        </w:rPr>
      </w:pPr>
      <w:r>
        <w:rPr>
          <w:rFonts w:hint="eastAsia" w:ascii="仿宋" w:hAnsi="仿宋" w:eastAsia="仿宋" w:cs="仿宋"/>
          <w:sz w:val="32"/>
          <w:szCs w:val="32"/>
        </w:rPr>
        <w:t>法定代表人：</w:t>
      </w:r>
      <w:r>
        <w:rPr>
          <w:rFonts w:hint="eastAsia" w:ascii="仿宋" w:hAnsi="仿宋" w:eastAsia="仿宋" w:cs="仿宋"/>
          <w:sz w:val="32"/>
          <w:szCs w:val="32"/>
          <w:u w:val="single"/>
          <w:lang w:eastAsia="zh-CN"/>
        </w:rPr>
        <w:t>黄大同</w:t>
      </w:r>
    </w:p>
    <w:p w14:paraId="5F9B8700">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地址：</w:t>
      </w:r>
      <w:r>
        <w:rPr>
          <w:rFonts w:hint="eastAsia" w:ascii="仿宋" w:hAnsi="仿宋" w:eastAsia="仿宋" w:cs="仿宋"/>
          <w:sz w:val="32"/>
          <w:szCs w:val="32"/>
          <w:u w:val="single"/>
          <w:lang w:val="en-US" w:eastAsia="zh-CN"/>
        </w:rPr>
        <w:t>井岸镇工业大道311号A1办公楼第二层207室</w:t>
      </w:r>
    </w:p>
    <w:p w14:paraId="437796D1">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0A095646">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乙方（承租方）：________________________</w:t>
      </w:r>
    </w:p>
    <w:p w14:paraId="1CCA4DA4">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统一社会信用代码：________________________</w:t>
      </w:r>
    </w:p>
    <w:p w14:paraId="5553A5EC">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法定代表人：____________________________</w:t>
      </w:r>
    </w:p>
    <w:p w14:paraId="63063EF4">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地址：__________________________________</w:t>
      </w:r>
    </w:p>
    <w:p w14:paraId="6D554D2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p>
    <w:p w14:paraId="694AEB6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本着盘活国有存量物业资产，推进斗门区城市更新与文创产业升级，实现国有资产保值增值原则，甲方将名下</w:t>
      </w:r>
      <w:r>
        <w:rPr>
          <w:rFonts w:hint="eastAsia" w:ascii="仿宋" w:hAnsi="仿宋" w:eastAsia="仿宋" w:cs="仿宋"/>
          <w:sz w:val="32"/>
          <w:szCs w:val="32"/>
          <w:lang w:val="en-US" w:eastAsia="zh-CN"/>
        </w:rPr>
        <w:t>管理位于</w:t>
      </w:r>
      <w:r>
        <w:rPr>
          <w:rFonts w:hint="eastAsia" w:ascii="仿宋" w:hAnsi="仿宋" w:eastAsia="仿宋" w:cs="仿宋"/>
          <w:sz w:val="32"/>
          <w:szCs w:val="32"/>
        </w:rPr>
        <w:t>井岸镇井湾路两处物业出租给乙方，由乙方全额投资改造运营</w:t>
      </w:r>
      <w:r>
        <w:rPr>
          <w:rFonts w:hint="eastAsia" w:ascii="仿宋_GB2312" w:hAnsi="仿宋_GB2312" w:eastAsia="仿宋_GB2312" w:cs="仿宋_GB2312"/>
          <w:sz w:val="32"/>
          <w:szCs w:val="32"/>
        </w:rPr>
        <w:t>文化创意产业园</w:t>
      </w:r>
      <w:r>
        <w:rPr>
          <w:rFonts w:hint="eastAsia" w:ascii="仿宋" w:hAnsi="仿宋" w:eastAsia="仿宋" w:cs="仿宋"/>
          <w:sz w:val="32"/>
          <w:szCs w:val="32"/>
        </w:rPr>
        <w:t>（</w:t>
      </w:r>
      <w:r>
        <w:rPr>
          <w:rFonts w:hint="eastAsia" w:ascii="仿宋" w:hAnsi="仿宋" w:eastAsia="仿宋" w:cs="仿宋"/>
          <w:sz w:val="32"/>
          <w:szCs w:val="32"/>
          <w:lang w:val="en-US" w:eastAsia="zh-CN"/>
        </w:rPr>
        <w:t>具体名称</w:t>
      </w:r>
      <w:r>
        <w:rPr>
          <w:rFonts w:hint="eastAsia" w:ascii="仿宋" w:hAnsi="仿宋" w:eastAsia="仿宋" w:cs="仿宋"/>
          <w:sz w:val="32"/>
          <w:szCs w:val="32"/>
        </w:rPr>
        <w:t>最终以政府主管部门审批名称为准）。依据《中华人民共和国民法典》《中华人民共和国建筑法》等法律法规，甲乙双方本着平等自愿、公平诚信、权责对等原则，经友好协商，订立本合同，共同遵照执行。</w:t>
      </w:r>
    </w:p>
    <w:p w14:paraId="79B2591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第一条 租赁标的</w:t>
      </w:r>
    </w:p>
    <w:p w14:paraId="2FC8999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 w:hAnsi="仿宋" w:eastAsia="仿宋" w:cs="仿宋"/>
          <w:sz w:val="32"/>
          <w:szCs w:val="32"/>
        </w:rPr>
      </w:pPr>
      <w:r>
        <w:rPr>
          <w:rFonts w:hint="eastAsia" w:ascii="楷体_GB2312" w:hAnsi="楷体_GB2312" w:eastAsia="楷体_GB2312" w:cs="楷体_GB2312"/>
          <w:b/>
          <w:bCs/>
          <w:sz w:val="32"/>
          <w:szCs w:val="32"/>
        </w:rPr>
        <w:t>（一）标的1：</w:t>
      </w:r>
      <w:r>
        <w:rPr>
          <w:rFonts w:hint="eastAsia" w:ascii="仿宋" w:hAnsi="仿宋" w:eastAsia="仿宋" w:cs="仿宋"/>
          <w:sz w:val="32"/>
          <w:szCs w:val="32"/>
        </w:rPr>
        <w:t>位于斗门区井岸镇井湾路599号物业资产，不动产权属证号：斗府国</w:t>
      </w:r>
      <w:r>
        <w:rPr>
          <w:rFonts w:hint="eastAsia" w:ascii="仿宋" w:hAnsi="仿宋" w:eastAsia="仿宋" w:cs="仿宋"/>
          <w:sz w:val="32"/>
          <w:szCs w:val="32"/>
          <w:lang w:val="en-US" w:eastAsia="zh-CN"/>
        </w:rPr>
        <w:t>用</w:t>
      </w:r>
      <w:r>
        <w:rPr>
          <w:rFonts w:hint="eastAsia" w:ascii="仿宋" w:hAnsi="仿宋" w:eastAsia="仿宋" w:cs="仿宋"/>
          <w:sz w:val="32"/>
          <w:szCs w:val="32"/>
        </w:rPr>
        <w:t>字（1995）第042101400001号，证载土地面积5421.2㎡，地上建筑物面积5076.59㎡；</w:t>
      </w:r>
    </w:p>
    <w:p w14:paraId="663C5BE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 w:hAnsi="仿宋" w:eastAsia="仿宋" w:cs="仿宋"/>
          <w:sz w:val="32"/>
          <w:szCs w:val="32"/>
        </w:rPr>
      </w:pPr>
      <w:r>
        <w:rPr>
          <w:rFonts w:hint="eastAsia" w:ascii="楷体_GB2312" w:hAnsi="楷体_GB2312" w:eastAsia="楷体_GB2312" w:cs="楷体_GB2312"/>
          <w:b/>
          <w:bCs/>
          <w:sz w:val="32"/>
          <w:szCs w:val="32"/>
        </w:rPr>
        <w:t>（二）标的2：</w:t>
      </w:r>
      <w:r>
        <w:rPr>
          <w:rFonts w:hint="eastAsia" w:ascii="仿宋" w:hAnsi="仿宋" w:eastAsia="仿宋" w:cs="仿宋"/>
          <w:sz w:val="32"/>
          <w:szCs w:val="32"/>
        </w:rPr>
        <w:t>位于斗门区井岸镇井湾路583号物业资产，不动产权属证号：斗府国</w:t>
      </w:r>
      <w:r>
        <w:rPr>
          <w:rFonts w:hint="eastAsia" w:ascii="仿宋" w:hAnsi="仿宋" w:eastAsia="仿宋" w:cs="仿宋"/>
          <w:sz w:val="32"/>
          <w:szCs w:val="32"/>
          <w:lang w:val="en-US" w:eastAsia="zh-CN"/>
        </w:rPr>
        <w:t>用</w:t>
      </w:r>
      <w:r>
        <w:rPr>
          <w:rFonts w:hint="eastAsia" w:ascii="仿宋" w:hAnsi="仿宋" w:eastAsia="仿宋" w:cs="仿宋"/>
          <w:sz w:val="32"/>
          <w:szCs w:val="32"/>
        </w:rPr>
        <w:t>字（1996）第04210140124号，证载土地面积426</w:t>
      </w:r>
      <w:r>
        <w:rPr>
          <w:rFonts w:hint="eastAsia" w:ascii="仿宋" w:hAnsi="仿宋" w:eastAsia="仿宋" w:cs="仿宋"/>
          <w:sz w:val="32"/>
          <w:szCs w:val="32"/>
          <w:lang w:val="en-US" w:eastAsia="zh-CN"/>
        </w:rPr>
        <w:t>4</w:t>
      </w:r>
      <w:r>
        <w:rPr>
          <w:rFonts w:hint="eastAsia" w:ascii="仿宋" w:hAnsi="仿宋" w:eastAsia="仿宋" w:cs="仿宋"/>
          <w:sz w:val="32"/>
          <w:szCs w:val="32"/>
        </w:rPr>
        <w:t>㎡，地上建筑物面积3230.07㎡。</w:t>
      </w:r>
    </w:p>
    <w:p w14:paraId="6E64E7A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 租赁标的包含上述两宗物业对应的土地、建筑物及现有固定附属设施，按现状交付。证载面积与实测面积存在差异的，不调整本合同租金标准。</w:t>
      </w:r>
    </w:p>
    <w:p w14:paraId="54C2772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 乙方经营范围为文化创意产业园运营，租赁物业限定用于文化创意产业园运营，未经甲方书面同意，乙方不得擅自改变物业规划用途与经营范围。</w:t>
      </w:r>
    </w:p>
    <w:p w14:paraId="003582E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1.3 改造目标：乙方投入资金对项目整体装修改造，打造集文化创意、产业孵化、商业配套于一体的现代化文化创意产业园。投资明细以双方共同盖章确认的附件一《项目投资预算书》为准；投资范围包括设计、拆除、装修、机电、消防、公共配套设施等实现项目改造目标所需全部投入。</w:t>
      </w:r>
    </w:p>
    <w:p w14:paraId="16DF5E9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1.4 物业交付前，该两宗物业产生的土地使用费、水电费、各项税费、行政处罚、债权债务及其他历史遗留问题，全部由甲方负责处置并承担全部费用。甲方保证交付物业不存在抵押、查封、第三方权利限制等影响改造使用的情形，具备改造施工基础条件。如因历史遗留问题造成乙方无法施工或者遭受损失的，由甲方承担赔偿责任。</w:t>
      </w:r>
    </w:p>
    <w:p w14:paraId="303B183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第二条 租赁期限</w:t>
      </w:r>
    </w:p>
    <w:p w14:paraId="7CA4FE9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2.1 租赁期限共计18年，自甲方完整向乙方移交物业之日起计算，物业完整移交以双方签署附件三《物业交接清单》为准，即</w:t>
      </w:r>
      <w:r>
        <w:rPr>
          <w:rFonts w:hint="eastAsia" w:ascii="仿宋" w:hAnsi="仿宋" w:eastAsia="仿宋" w:cs="仿宋"/>
          <w:sz w:val="32"/>
          <w:szCs w:val="32"/>
          <w:lang w:val="en-US" w:eastAsia="zh-CN"/>
        </w:rPr>
        <w:t>2026年11月1日起至2044年10月31日</w:t>
      </w:r>
      <w:r>
        <w:rPr>
          <w:rFonts w:hint="eastAsia" w:ascii="仿宋" w:hAnsi="仿宋" w:eastAsia="仿宋" w:cs="仿宋"/>
          <w:sz w:val="32"/>
          <w:szCs w:val="32"/>
        </w:rPr>
        <w:t>止。</w:t>
      </w:r>
    </w:p>
    <w:p w14:paraId="0CF30B2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2.2 租赁期限届满，乙方在本合同履行期间无重大违约行为的，同等条件下享有优先承租权。合同期满乙方有意续租，应当按国有资产租赁管理要求参加公开招租竞价；不参与竞价的，视为乙方自动放弃优先承租权。续约租金及合作条件双方另行协商签署新合同；协商不成，本合同到期自动终止。</w:t>
      </w:r>
    </w:p>
    <w:p w14:paraId="5263209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第三条 租金及其支付方式</w:t>
      </w:r>
    </w:p>
    <w:p w14:paraId="3AB49CF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3.1 </w:t>
      </w:r>
      <w:r>
        <w:rPr>
          <w:rFonts w:hint="eastAsia" w:ascii="仿宋" w:hAnsi="仿宋" w:eastAsia="仿宋" w:cs="仿宋"/>
          <w:sz w:val="32"/>
          <w:szCs w:val="32"/>
          <w:lang w:val="en-US" w:eastAsia="zh-CN"/>
        </w:rPr>
        <w:t>租金计收方式按租期分段执行，全部租金均为含税金额，具体约定如下</w:t>
      </w:r>
      <w:r>
        <w:rPr>
          <w:rFonts w:hint="eastAsia" w:ascii="仿宋" w:hAnsi="仿宋" w:eastAsia="仿宋" w:cs="仿宋"/>
          <w:sz w:val="32"/>
          <w:szCs w:val="32"/>
        </w:rPr>
        <w:t>：</w:t>
      </w:r>
    </w:p>
    <w:p w14:paraId="16A1BAE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租赁前期（2026年11月1日—2029年2月28日，共计28个月）：每月含税租金按中标租金标准折算，按月租金的50%计取；</w:t>
      </w:r>
    </w:p>
    <w:p w14:paraId="1A0F3E4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稳定期第一段（2029年3 月1日—2032年2月29日，共计36个月）：按完整年度计租，每年含税租金按中标租金标准全额计取；</w:t>
      </w:r>
    </w:p>
    <w:p w14:paraId="1901C63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lang w:val="en-US" w:eastAsia="zh-CN"/>
        </w:rPr>
        <w:t>第一次递增周期（2032年3月1日—2037年2月28日，共计60个月）：</w:t>
      </w:r>
      <w:r>
        <w:rPr>
          <w:rFonts w:hint="eastAsia" w:ascii="仿宋" w:hAnsi="仿宋" w:eastAsia="仿宋" w:cs="仿宋"/>
          <w:sz w:val="32"/>
          <w:szCs w:val="32"/>
          <w:highlight w:val="none"/>
          <w:lang w:val="en-US" w:eastAsia="zh-CN"/>
        </w:rPr>
        <w:t>年含税租金在上一租赁周期（稳定期</w:t>
      </w:r>
      <w:bookmarkStart w:id="0" w:name="_GoBack"/>
      <w:bookmarkEnd w:id="0"/>
      <w:r>
        <w:rPr>
          <w:rFonts w:hint="eastAsia" w:ascii="仿宋" w:hAnsi="仿宋" w:eastAsia="仿宋" w:cs="仿宋"/>
          <w:sz w:val="32"/>
          <w:szCs w:val="32"/>
          <w:highlight w:val="none"/>
          <w:lang w:val="en-US" w:eastAsia="zh-CN"/>
        </w:rPr>
        <w:t>）含税租金基础上递增3%；</w:t>
      </w:r>
    </w:p>
    <w:p w14:paraId="25CD66C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第二次递增周期（2037年3月1日—2042年2月28日，共计60个月）：年含税租金在上一租赁周期含税租金基础上递增3%；</w:t>
      </w:r>
    </w:p>
    <w:p w14:paraId="6EEDBC7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highlight w:val="none"/>
          <w:lang w:val="en-US" w:eastAsia="zh-CN"/>
        </w:rPr>
        <w:t>第三次递增周期（2042年3月1日—2044年10月31日，共计32个月）：年含税租金在上一租赁周期含</w:t>
      </w:r>
      <w:r>
        <w:rPr>
          <w:rFonts w:hint="eastAsia" w:ascii="仿宋" w:hAnsi="仿宋" w:eastAsia="仿宋" w:cs="仿宋"/>
          <w:sz w:val="32"/>
          <w:szCs w:val="32"/>
          <w:lang w:val="en-US" w:eastAsia="zh-CN"/>
        </w:rPr>
        <w:t>税租金基础上递增3%。</w:t>
      </w:r>
    </w:p>
    <w:p w14:paraId="05DDA20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 租赁期间产生的各项税费，甲乙双方按照法律规定各自承担；因乙方经营租赁产生的相关税费，全部由乙方承担。</w:t>
      </w:r>
    </w:p>
    <w:p w14:paraId="40796E5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3.3 支付方式：</w:t>
      </w:r>
    </w:p>
    <w:p w14:paraId="774DEA8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lang w:val="en-US" w:eastAsia="zh-CN"/>
        </w:rPr>
        <w:t>3.3.1 租赁前期租金支付：乙方须在租赁合同签订后15个工作日内，一次性支付首期租金</w:t>
      </w:r>
      <w:r>
        <w:rPr>
          <w:rFonts w:hint="eastAsia" w:ascii="仿宋" w:hAnsi="仿宋" w:eastAsia="仿宋" w:cs="仿宋"/>
          <w:sz w:val="32"/>
          <w:szCs w:val="32"/>
        </w:rPr>
        <w:t>至</w:t>
      </w:r>
      <w:r>
        <w:rPr>
          <w:rFonts w:hint="eastAsia" w:ascii="仿宋" w:hAnsi="仿宋" w:eastAsia="仿宋" w:cs="仿宋"/>
          <w:sz w:val="32"/>
          <w:szCs w:val="32"/>
          <w:lang w:val="en-US" w:eastAsia="zh-CN"/>
        </w:rPr>
        <w:t>甲方</w:t>
      </w:r>
      <w:r>
        <w:rPr>
          <w:rFonts w:hint="eastAsia" w:ascii="仿宋" w:hAnsi="仿宋" w:eastAsia="仿宋" w:cs="仿宋"/>
          <w:sz w:val="32"/>
          <w:szCs w:val="32"/>
        </w:rPr>
        <w:t>指定银行</w:t>
      </w:r>
      <w:r>
        <w:rPr>
          <w:rFonts w:hint="eastAsia" w:ascii="仿宋" w:hAnsi="仿宋" w:eastAsia="仿宋" w:cs="仿宋"/>
          <w:sz w:val="32"/>
          <w:szCs w:val="32"/>
          <w:highlight w:val="none"/>
        </w:rPr>
        <w:t>账户</w:t>
      </w:r>
      <w:r>
        <w:rPr>
          <w:rFonts w:hint="eastAsia" w:ascii="仿宋" w:hAnsi="仿宋" w:eastAsia="仿宋" w:cs="仿宋"/>
          <w:sz w:val="32"/>
          <w:szCs w:val="32"/>
          <w:highlight w:val="none"/>
          <w:lang w:eastAsia="zh-CN"/>
        </w:rPr>
        <w:t>（</w:t>
      </w:r>
      <w:r>
        <w:rPr>
          <w:rFonts w:hint="eastAsia" w:ascii="仿宋_GB2312" w:hAnsi="仿宋_GB2312" w:eastAsia="仿宋_GB2312" w:cs="仿宋_GB2312"/>
          <w:sz w:val="32"/>
          <w:szCs w:val="32"/>
          <w:highlight w:val="none"/>
          <w:lang w:val="en-US" w:eastAsia="zh-CN"/>
        </w:rPr>
        <w:t>计租时段：2026年11月1日至2027年12月31日，合计14个月）；并应于2028年1月20日前，一次性支付第二期租金（计租时段：2028年1月1日至2029年2月28日，合计14个月）</w:t>
      </w:r>
      <w:r>
        <w:rPr>
          <w:rFonts w:hint="eastAsia" w:ascii="仿宋" w:hAnsi="仿宋" w:eastAsia="仿宋" w:cs="仿宋"/>
          <w:sz w:val="32"/>
          <w:szCs w:val="32"/>
          <w:highlight w:val="none"/>
          <w:lang w:val="en-US" w:eastAsia="zh-CN"/>
        </w:rPr>
        <w:t>。</w:t>
      </w:r>
    </w:p>
    <w:p w14:paraId="1BE4E22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3.3.2 </w:t>
      </w:r>
      <w:r>
        <w:rPr>
          <w:rFonts w:hint="eastAsia" w:ascii="仿宋" w:hAnsi="仿宋" w:eastAsia="仿宋" w:cs="仿宋"/>
          <w:sz w:val="32"/>
          <w:szCs w:val="32"/>
        </w:rPr>
        <w:t>稳定期及租金递增阶段：自稳定期起，</w:t>
      </w:r>
      <w:r>
        <w:rPr>
          <w:rFonts w:hint="eastAsia" w:ascii="仿宋" w:hAnsi="仿宋" w:eastAsia="仿宋" w:cs="仿宋"/>
          <w:sz w:val="32"/>
          <w:szCs w:val="32"/>
          <w:lang w:val="en-US" w:eastAsia="zh-CN"/>
        </w:rPr>
        <w:t>乙方</w:t>
      </w:r>
      <w:r>
        <w:rPr>
          <w:rFonts w:hint="eastAsia" w:ascii="仿宋" w:hAnsi="仿宋" w:eastAsia="仿宋" w:cs="仿宋"/>
          <w:sz w:val="32"/>
          <w:szCs w:val="32"/>
        </w:rPr>
        <w:t>应于每月</w:t>
      </w:r>
      <w:r>
        <w:rPr>
          <w:rFonts w:hint="eastAsia" w:ascii="仿宋" w:hAnsi="仿宋" w:eastAsia="仿宋" w:cs="仿宋"/>
          <w:sz w:val="32"/>
          <w:szCs w:val="32"/>
          <w:lang w:val="en-US" w:eastAsia="zh-CN"/>
        </w:rPr>
        <w:t>20</w:t>
      </w:r>
      <w:r>
        <w:rPr>
          <w:rFonts w:hint="eastAsia" w:ascii="仿宋" w:hAnsi="仿宋" w:eastAsia="仿宋" w:cs="仿宋"/>
          <w:sz w:val="32"/>
          <w:szCs w:val="32"/>
        </w:rPr>
        <w:t>日前，将当</w:t>
      </w:r>
      <w:r>
        <w:rPr>
          <w:rFonts w:hint="eastAsia" w:ascii="仿宋" w:hAnsi="仿宋" w:eastAsia="仿宋" w:cs="仿宋"/>
          <w:sz w:val="32"/>
          <w:szCs w:val="32"/>
          <w:lang w:val="en-US" w:eastAsia="zh-CN"/>
        </w:rPr>
        <w:t>月</w:t>
      </w:r>
      <w:r>
        <w:rPr>
          <w:rFonts w:hint="eastAsia" w:ascii="仿宋" w:hAnsi="仿宋" w:eastAsia="仿宋" w:cs="仿宋"/>
          <w:sz w:val="32"/>
          <w:szCs w:val="32"/>
        </w:rPr>
        <w:t>度含税租金一次性缴付至</w:t>
      </w:r>
      <w:r>
        <w:rPr>
          <w:rFonts w:hint="eastAsia" w:ascii="仿宋" w:hAnsi="仿宋" w:eastAsia="仿宋" w:cs="仿宋"/>
          <w:sz w:val="32"/>
          <w:szCs w:val="32"/>
          <w:lang w:val="en-US" w:eastAsia="zh-CN"/>
        </w:rPr>
        <w:t>甲方</w:t>
      </w:r>
      <w:r>
        <w:rPr>
          <w:rFonts w:hint="eastAsia" w:ascii="仿宋" w:hAnsi="仿宋" w:eastAsia="仿宋" w:cs="仿宋"/>
          <w:sz w:val="32"/>
          <w:szCs w:val="32"/>
        </w:rPr>
        <w:t>指定银行账户。</w:t>
      </w:r>
    </w:p>
    <w:p w14:paraId="5FC31D4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3.4 甲方收款账户：</w:t>
      </w:r>
    </w:p>
    <w:p w14:paraId="4A22E74A">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rPr>
        <w:t>开户银行：</w:t>
      </w:r>
      <w:r>
        <w:rPr>
          <w:rFonts w:hint="eastAsia" w:ascii="仿宋" w:hAnsi="仿宋" w:eastAsia="仿宋" w:cs="仿宋"/>
          <w:sz w:val="32"/>
          <w:szCs w:val="32"/>
          <w:u w:val="single"/>
          <w:lang w:eastAsia="zh-CN"/>
        </w:rPr>
        <w:t>珠海华润银行斗门支行</w:t>
      </w:r>
    </w:p>
    <w:p w14:paraId="339852E0">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rPr>
        <w:t>账户名称：</w:t>
      </w:r>
      <w:r>
        <w:rPr>
          <w:rFonts w:hint="eastAsia" w:ascii="仿宋" w:hAnsi="仿宋" w:eastAsia="仿宋" w:cs="仿宋"/>
          <w:sz w:val="32"/>
          <w:szCs w:val="32"/>
          <w:u w:val="single"/>
          <w:lang w:eastAsia="zh-CN"/>
        </w:rPr>
        <w:t>珠海市斗门品源生鲜食品有限公司</w:t>
      </w:r>
    </w:p>
    <w:p w14:paraId="73E414B6">
      <w:pPr>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ascii="仿宋" w:hAnsi="仿宋" w:eastAsia="仿宋" w:cs="仿宋"/>
          <w:sz w:val="32"/>
          <w:szCs w:val="32"/>
          <w:u w:val="single"/>
          <w:lang w:val="en-US" w:eastAsia="zh-CN"/>
        </w:rPr>
      </w:pPr>
      <w:r>
        <w:rPr>
          <w:rFonts w:hint="eastAsia" w:ascii="仿宋" w:hAnsi="仿宋" w:eastAsia="仿宋" w:cs="仿宋"/>
          <w:sz w:val="32"/>
          <w:szCs w:val="32"/>
        </w:rPr>
        <w:t>账  号：</w:t>
      </w:r>
      <w:r>
        <w:rPr>
          <w:rFonts w:hint="eastAsia" w:ascii="仿宋" w:hAnsi="仿宋" w:eastAsia="仿宋" w:cs="仿宋"/>
          <w:sz w:val="32"/>
          <w:szCs w:val="32"/>
          <w:u w:val="single"/>
          <w:lang w:val="en-US" w:eastAsia="zh-CN"/>
        </w:rPr>
        <w:t>213227102612800001</w:t>
      </w:r>
    </w:p>
    <w:p w14:paraId="1B1A1E6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3.5 因政府行政管控、全域停业、征收征用等政策行为或不可抗力造成乙方全部或者部分停业，经营活动中断的，停业期间租金按照实际停业天数予以减免或顺延。乙方应当提供政府文件、通知作为依据并及时书面告知甲方，经双方核实确认后执行。单纯市场经营困难，不适用本租金减免、顺延条款。</w:t>
      </w:r>
    </w:p>
    <w:p w14:paraId="54F3223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第四条 双重履约担保（银行履约保函+履约保证金）</w:t>
      </w:r>
    </w:p>
    <w:p w14:paraId="719FA09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特别约定：银行履约保函设立目的：担保乙方按照约定足额完成项目投资、按期实施改造，不得擅自停工、中途退场；履约保证金担保乙方全面履行本合同项下全部义务。两项担保并行生效，相互独立，互不抵扣、互不替代。</w:t>
      </w:r>
    </w:p>
    <w:p w14:paraId="157A64A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 银行履约保函</w:t>
      </w:r>
    </w:p>
    <w:p w14:paraId="1E315CD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4.1.1 乙方应当于本合同签订后10个工作日内，向甲方提交金额为人民币1</w:t>
      </w:r>
      <w:r>
        <w:rPr>
          <w:rFonts w:hint="eastAsia" w:ascii="仿宋" w:hAnsi="仿宋" w:eastAsia="仿宋" w:cs="仿宋"/>
          <w:sz w:val="32"/>
          <w:szCs w:val="32"/>
          <w:lang w:val="en-US" w:eastAsia="zh-CN"/>
        </w:rPr>
        <w:t>0</w:t>
      </w:r>
      <w:r>
        <w:rPr>
          <w:rFonts w:hint="eastAsia" w:ascii="仿宋" w:hAnsi="仿宋" w:eastAsia="仿宋" w:cs="仿宋"/>
          <w:sz w:val="32"/>
          <w:szCs w:val="32"/>
        </w:rPr>
        <w:t>0万元（大写：壹佰万元整）的银行履约保函；保函受益人为甲方，保函有效期必须完整覆盖项目全部改造施工周期。</w:t>
      </w:r>
    </w:p>
    <w:p w14:paraId="620B5F0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4.1.2 保函解除条件</w:t>
      </w:r>
    </w:p>
    <w:p w14:paraId="6CD1359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①项目整体工程竣工验收合格后7个工作日内，甲方配合办理解除该银行履约保函；</w:t>
      </w:r>
    </w:p>
    <w:p w14:paraId="03AC404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②因甲方自身原因、政府征收、规划调整导致项目停工、本合同提前终止的，甲方应于该事实书面确认后7个工作日内办理解除履约保函手续。</w:t>
      </w:r>
    </w:p>
    <w:p w14:paraId="03528AC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4.1.3 保函违约处置条款</w:t>
      </w:r>
    </w:p>
    <w:p w14:paraId="642BD4C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本保函专门用于担保乙方足额投资、按期完成改造施工，约束乙方不得擅自停工、无故撤场。</w:t>
      </w:r>
    </w:p>
    <w:p w14:paraId="773FD8E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（1）若乙方出现擅自停工、中途撤场、经核算项目实际总投资额低于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万元，经甲方书面催告后，在指定期限内仍未完成整改的，甲方有权依据银行履约保函约定，向保函出具银行兑付全部或部分保函金额，用于弥补甲方因项目停滞造成的损失。</w:t>
      </w:r>
    </w:p>
    <w:p w14:paraId="362063F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（2）乙方未能在约定期限内向甲方提交合法、有效银行履约保函的，甲方有权单方解除本合同，乙方应当赔偿甲方由此产生的全部实际损失。</w:t>
      </w:r>
    </w:p>
    <w:p w14:paraId="5492679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（3）除本条约定情形外，甲方不得擅自兑付该银行履约保函。</w:t>
      </w:r>
    </w:p>
    <w:p w14:paraId="043385B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4.2 履约保证金</w:t>
      </w:r>
    </w:p>
    <w:p w14:paraId="55C69CF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4.2.1 乙方应于本合同签订之日起5个工作日内向甲方交付履约保证金人民币500000.00元（大写：伍拾万元整），甲方收到款项后向乙方出具合法收款收据。</w:t>
      </w:r>
    </w:p>
    <w:p w14:paraId="77CEDD6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4.2.2 履约保证金违约处置条款</w:t>
      </w:r>
    </w:p>
    <w:p w14:paraId="2BF5305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租赁期内，乙方发生逾期支付租金、违规转租转包、项目投资不达标、</w:t>
      </w:r>
      <w:r>
        <w:commentReference w:id="0"/>
      </w:r>
      <w:r>
        <w:rPr>
          <w:rFonts w:hint="eastAsia" w:ascii="仿宋" w:hAnsi="仿宋" w:eastAsia="仿宋" w:cs="仿宋"/>
          <w:sz w:val="32"/>
          <w:szCs w:val="32"/>
        </w:rPr>
        <w:t>安全事故、违法经营等违约行为</w:t>
      </w:r>
      <w:r>
        <w:rPr>
          <w:rFonts w:hint="eastAsia" w:ascii="仿宋" w:hAnsi="仿宋" w:eastAsia="仿宋" w:cs="仿宋"/>
          <w:color w:val="auto"/>
          <w:sz w:val="32"/>
          <w:szCs w:val="32"/>
        </w:rPr>
        <w:t>，</w:t>
      </w:r>
      <w:commentRangeStart w:id="1"/>
      <w:r>
        <w:rPr>
          <w:rFonts w:hint="eastAsia" w:ascii="仿宋" w:hAnsi="仿宋" w:eastAsia="仿宋" w:cs="仿宋"/>
          <w:color w:val="auto"/>
          <w:sz w:val="32"/>
          <w:szCs w:val="32"/>
          <w:lang w:val="en-US" w:eastAsia="zh-CN"/>
        </w:rPr>
        <w:t>但尚未达到解除本合同的条件，</w:t>
      </w:r>
      <w:commentRangeEnd w:id="1"/>
      <w:r>
        <w:rPr>
          <w:color w:val="auto"/>
        </w:rPr>
        <w:commentReference w:id="1"/>
      </w:r>
      <w:r>
        <w:rPr>
          <w:rFonts w:hint="eastAsia" w:ascii="仿宋" w:hAnsi="仿宋" w:eastAsia="仿宋" w:cs="仿宋"/>
          <w:color w:val="auto"/>
          <w:sz w:val="32"/>
          <w:szCs w:val="32"/>
        </w:rPr>
        <w:t>甲方有权直接从履约保证金抵扣对应</w:t>
      </w:r>
      <w:r>
        <w:rPr>
          <w:rFonts w:hint="eastAsia" w:ascii="仿宋" w:hAnsi="仿宋" w:eastAsia="仿宋" w:cs="仿宋"/>
          <w:sz w:val="32"/>
          <w:szCs w:val="32"/>
        </w:rPr>
        <w:t>的违约金、赔偿金及损失；履约保证金不足以弥补甲方全部损失的，甲方有权继续向乙方追偿。</w:t>
      </w:r>
    </w:p>
    <w:p w14:paraId="17C6190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履约保证金被抵扣后余额不足50万元的，乙方应当在收到甲方书面通知后7个工作日内补足履约保证金；乙方逾期未补足的，甲方有权单方解除本合同。</w:t>
      </w:r>
    </w:p>
    <w:p w14:paraId="2A5475A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4.2.3 在租赁期满，乙方结清全部租金、水电费、违约金、赔偿金等全部应付款项，物业损坏已修复完毕，完成物业完整移交，无遗留纠纷前提下，甲方在30个工作日内不计息退还履约保证金。</w:t>
      </w:r>
    </w:p>
    <w:p w14:paraId="651C715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第五条 投资监管</w:t>
      </w:r>
    </w:p>
    <w:p w14:paraId="7F70A47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5.1 乙方须严格按照双方共同确认的《项目投资预算书》、建设进度计划组织实施，保证项目投资足额到位。</w:t>
      </w:r>
    </w:p>
    <w:p w14:paraId="228138E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5.2 甲方有权对项目投资资金使用、工程建设进度开展监督核查，乙方应当予以配合，按甲方要求提供票据、工程资料。</w:t>
      </w:r>
    </w:p>
    <w:p w14:paraId="1E3EF2B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5.3 乙方应当定期向甲方报送项目投资完成情况、工程建设进度报表。</w:t>
      </w:r>
    </w:p>
    <w:p w14:paraId="51D0A5B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5.4 若项目总投资额拟发生重大调整，乙方应当提前书面告知甲方，经双方协商一致签署书面确认文件后方可执行。</w:t>
      </w:r>
    </w:p>
    <w:p w14:paraId="6077A20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5.5 甲方不得假借投资监管干预乙方正常采购、施工单位遴选、合作商选择等经营自主权；乙方实际完成投资总额不低于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万元的前提下，甲方无权要求乙方追加项目投资。</w:t>
      </w:r>
    </w:p>
    <w:p w14:paraId="30E8006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第六条 项目建设</w:t>
      </w:r>
    </w:p>
    <w:p w14:paraId="7275BF1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6.1 乙方应当按照双方确认的附件二《项目设计方案》组织施工。未经双方书面确认，乙方不得擅自降低建设标准；确因物业实际条件需要调整设计方案，且不降低建设标准、不减少约定投资总额的，甲方无正当理由不得拒绝，经双方书面确认后，不视为乙方违约。</w:t>
      </w:r>
    </w:p>
    <w:p w14:paraId="375E48A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6.2 乙方应当严格遵守国家、地方工程建设、消防、安全生产相关法律法规和技术规范，确保工程质量、消防安全符合验收标准。</w:t>
      </w:r>
    </w:p>
    <w:p w14:paraId="64F2827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6.3 项目建设期间施工现场安全管理、文明施工责任全部由乙方承担。建设期间发生安全事故、人身财产损害赔偿，全部责任由乙方承担。</w:t>
      </w:r>
    </w:p>
    <w:p w14:paraId="57C34E7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6.4 项目建设所需全部行政审批、报建、验收手续由乙方负责办理，甲方提供必要协助（出具产权资料等），相关费用由乙方承担。因乙方报批滞后影响工期的，后果由乙方自行承担。</w:t>
      </w:r>
    </w:p>
    <w:p w14:paraId="773E5D0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第七条 管理和维修</w:t>
      </w:r>
    </w:p>
    <w:p w14:paraId="2B20591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7.1 甲方按现状出租租赁标的，租赁期间由乙方负责对租赁标的进行物业管理、日常维修保养及维护（包括但不限于下水道、卷闸等设施）；未经甲方同意，乙方不得擅自对租赁标的物进行改动。但乙方因实施项目整体装修改造需要，按照双方确认的《项目设计方案》进行的改动除外。</w:t>
      </w:r>
    </w:p>
    <w:p w14:paraId="34BEFD2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7.2 甲方按现状出租租赁标的，乙方已实地查看，充分了解出租标的现状，并承诺租赁期间因标的物自身的原因（包括但不限于漏水、渗水等）造成乙方损失的，由乙方自行承担。</w:t>
      </w:r>
    </w:p>
    <w:p w14:paraId="0B27E08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7.3 合同终止/解除时，乙方必须将租赁标的物完整地移交给甲方。乙方在项目装修改造过程中形成的附合装修改造构筑物，在租赁期届满或因乙方违约导致合同提前终止后，无偿归甲方所有，乙方不得要求甲方补偿或赔偿。乙方投入的可移动设备，租赁期届满后乙方有权自行拆除取回，但拆除时不得对物业主体结构或正常使用功能造成损害</w:t>
      </w:r>
      <w:r>
        <w:rPr>
          <w:rFonts w:hint="eastAsia" w:ascii="仿宋" w:hAnsi="仿宋" w:eastAsia="仿宋" w:cs="仿宋"/>
          <w:sz w:val="32"/>
          <w:szCs w:val="32"/>
          <w:lang w:eastAsia="zh-CN"/>
        </w:rPr>
        <w:t>。</w:t>
      </w:r>
    </w:p>
    <w:p w14:paraId="5A1B822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7.4 如乙方逾期不移交租赁标的物，甲方可采取停水停电、封闭入口、关闭大门等方式径直收回租赁标的物，室内所有物资视作乙方的弃物，由甲方处置，且逾期交付期间的占用费按合同终止/解除时租金标准的三倍支付。</w:t>
      </w:r>
    </w:p>
    <w:p w14:paraId="7E9D455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7.5 如甲方需要对出租标的进行检查、养护的，应提前一日通知乙方，检查、养护时，乙方应予以配合，如因乙方阻挠养护、维修而产生的后果，概由乙方负责。</w:t>
      </w:r>
    </w:p>
    <w:p w14:paraId="70BE4B0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第八条 物业转租限制与运营管理</w:t>
      </w:r>
    </w:p>
    <w:p w14:paraId="4A3D378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8.1 乙方不得将租赁物业整体转租、整体转包。乙方可根据产业园业态规划开展分租、招商入驻，乙方应当对次承租人经营行为承担全部管理责任。次承租合同期限不得超过本合同剩余租赁期限。</w:t>
      </w:r>
    </w:p>
    <w:p w14:paraId="60C48A2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8.2 乙方正式运营实施方案、招商政策应当提前书面报送甲方备案；甲方有权对园区运营情况开展监督，发现乙方严重偏离项目定位的，有权书面提出整改意见，乙方应当按期完成整改。</w:t>
      </w:r>
    </w:p>
    <w:p w14:paraId="2F4C1D1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8.3 本项目运营取得的全部经营收益归乙方所有，运营产生全部成本、人员薪酬、维修维护费用由乙方自行承担。</w:t>
      </w:r>
    </w:p>
    <w:p w14:paraId="2619AF2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8.4 租赁期间，乙方要做好安全、环保和卫生清洁、门前三包等工作；严格执行消防安全管理规定，厂房、商铺、仓库内严禁住人，保证灭火器、漏电开关配置齐全、走火通道畅通。因乙方管理措施不足造成的损失或产生的费用全部由乙方承担；造成物业损毁的，乙方应予赔偿。</w:t>
      </w:r>
    </w:p>
    <w:p w14:paraId="3703A3C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8.5 乙方保证对所聘请的员工依法支付工资及缴交社会保险费用，否则由此造成的一切后果由乙方负责，甲方有权单方解除合同并向乙方追讨损失。</w:t>
      </w:r>
    </w:p>
    <w:p w14:paraId="3A83850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第九条 资产处置与甲方违约解除的补偿规则</w:t>
      </w:r>
    </w:p>
    <w:p w14:paraId="547B658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9.1 在租赁期满，或因乙方违约导致本合同提前解除的情况下，乙方投资形成的附合装修、不可拆除改造构筑物无偿归甲方所有，乙方不得主张任何补偿、赔偿。</w:t>
      </w:r>
    </w:p>
    <w:p w14:paraId="0842B94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trike/>
          <w:dstrike w:val="0"/>
          <w:color w:val="C00000"/>
          <w:sz w:val="32"/>
          <w:szCs w:val="32"/>
        </w:rPr>
      </w:pPr>
      <w:r>
        <w:rPr>
          <w:rFonts w:hint="eastAsia" w:ascii="仿宋" w:hAnsi="仿宋" w:eastAsia="仿宋" w:cs="仿宋"/>
          <w:sz w:val="32"/>
          <w:szCs w:val="32"/>
        </w:rPr>
        <w:t>9.2 属于乙方购置的可移动设备、设施，租赁到期或合同终止后乙方有权自行拆除取回，但拆除作业不得损坏建筑物主体结构、消防及公用设施；如拆除会造成物业损毁，乙方应当放弃拆除，设备归甲方。</w:t>
      </w:r>
      <w:r>
        <w:commentReference w:id="2"/>
      </w:r>
    </w:p>
    <w:p w14:paraId="7DEBFA0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9.3 租赁期间，如因甲方违约解除合同的，甲方对乙方出资建设的构筑物或者投入的设备、装修改造的赔偿，原则上根据乙方投入时的成本，以直线折旧法按合同总租期进行折旧；合同总租期大于税法规定的最低折旧年限的，按税法规定的最低折旧年限计算；合同总租期小于税法规定的最低折旧年限的，按合同总租期计算；未折旧年限的剩余价值额作为赔偿参考，且赔偿总额不得高于合同中约定的剩余租期内的租金。</w:t>
      </w:r>
    </w:p>
    <w:p w14:paraId="6276246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第十条 特别事项</w:t>
      </w:r>
    </w:p>
    <w:p w14:paraId="3E874F0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10.1 甲方只按现状将标的物出租给乙方，乙方已充分了解租赁标的物的现状。如乙方将租赁标的作为经营场所涉及的消防问题由乙方自行办理，甲方可提供相应协助。因相关部门对标的物消防检查不合格而导致乙方经营中止的风险及后果由乙方自行承担。</w:t>
      </w:r>
    </w:p>
    <w:p w14:paraId="52FA7E5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仿宋" w:hAnsi="仿宋" w:eastAsia="仿宋" w:cs="仿宋"/>
          <w:color w:val="C00000"/>
          <w:sz w:val="32"/>
          <w:szCs w:val="32"/>
          <w:lang w:val="en-US" w:eastAsia="zh-CN"/>
        </w:rPr>
      </w:pPr>
      <w:r>
        <w:rPr>
          <w:rFonts w:hint="eastAsia" w:ascii="仿宋" w:hAnsi="仿宋" w:eastAsia="仿宋" w:cs="仿宋"/>
          <w:sz w:val="32"/>
          <w:szCs w:val="32"/>
        </w:rPr>
        <w:t>10.2 乙方在租赁期内原则上不得退租；确因特殊情况申请退租，经甲方书面同意的，乙方交付的履约保证金不予退回</w:t>
      </w:r>
      <w:commentRangeStart w:id="3"/>
      <w:r>
        <w:rPr>
          <w:rFonts w:hint="eastAsia" w:ascii="仿宋" w:hAnsi="仿宋" w:eastAsia="仿宋" w:cs="仿宋"/>
          <w:color w:val="C00000"/>
          <w:sz w:val="32"/>
          <w:szCs w:val="32"/>
          <w:lang w:val="en-US" w:eastAsia="zh-CN"/>
        </w:rPr>
        <w:t>。</w:t>
      </w:r>
      <w:commentRangeEnd w:id="3"/>
      <w:r>
        <w:commentReference w:id="3"/>
      </w:r>
    </w:p>
    <w:p w14:paraId="7CB98B3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10.3 租赁期内，如遇政府征收（收回）、收储租赁物及相关单位要求收回租赁物等情形时，甲方可解除合同，租赁合同自甲方解除通知送达时解除；乙方不签收的，则甲方在租赁物所在地张贴解除合同通知即视为送达。乙方应于解除合同通知送达后10天内交还租赁物给甲方，逾期不交还，视为乙方已放弃留在租赁物内所有物品的所有权，甲方可自行清理。此种情形下甲方不向乙方做任何补偿或赔偿。</w:t>
      </w:r>
    </w:p>
    <w:p w14:paraId="3BD477B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10.4 租赁期间，乙方需自行办理标的物的水、电手续，甲方可提供协助，相关费用及责任由乙方负担。</w:t>
      </w:r>
    </w:p>
    <w:p w14:paraId="2A07A52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10.5 乙方必须按照国家及市政府有关规定及时办理</w:t>
      </w:r>
      <w:r>
        <w:rPr>
          <w:rFonts w:hint="eastAsia" w:ascii="仿宋" w:hAnsi="仿宋" w:eastAsia="仿宋" w:cs="仿宋"/>
          <w:sz w:val="32"/>
          <w:szCs w:val="32"/>
          <w:lang w:val="en-US" w:eastAsia="zh-CN"/>
        </w:rPr>
        <w:t>消防、</w:t>
      </w:r>
      <w:r>
        <w:rPr>
          <w:rFonts w:hint="eastAsia" w:ascii="仿宋" w:hAnsi="仿宋" w:eastAsia="仿宋" w:cs="仿宋"/>
          <w:sz w:val="32"/>
          <w:szCs w:val="32"/>
        </w:rPr>
        <w:t>工商执照等经营所需全部证照，甲方必要时予以协助，相关费用由乙方负担。乙方在租赁物业开业前，必须向甲方提交上述主体资格法律文件及经营资质证明文件的复印件。</w:t>
      </w:r>
    </w:p>
    <w:p w14:paraId="7DB0918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第十一条 违约责任</w:t>
      </w:r>
    </w:p>
    <w:p w14:paraId="37784F3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11.1 乙方未按双方确认进度完成项目装修改造工程，每逾期一日，按当期应付年租金万分之五向甲方支付违约金；逾期超过90日，甲方有权要求限期整改，整改不到位可解除合同</w:t>
      </w:r>
      <w:commentRangeStart w:id="4"/>
      <w:r>
        <w:rPr>
          <w:rFonts w:hint="eastAsia" w:ascii="仿宋" w:hAnsi="仿宋" w:eastAsia="仿宋" w:cs="仿宋"/>
          <w:sz w:val="32"/>
          <w:szCs w:val="32"/>
          <w:lang w:val="en-US" w:eastAsia="zh-CN"/>
        </w:rPr>
        <w:t>乙方已交付的履约保证金不予退还。</w:t>
      </w:r>
      <w:commentRangeEnd w:id="4"/>
      <w:r>
        <w:rPr>
          <w:rFonts w:hint="eastAsia" w:ascii="仿宋" w:hAnsi="仿宋" w:eastAsia="仿宋" w:cs="仿宋"/>
          <w:sz w:val="32"/>
          <w:szCs w:val="32"/>
        </w:rPr>
        <w:commentReference w:id="4"/>
      </w:r>
    </w:p>
    <w:p w14:paraId="2F448E4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11.2 乙方擅自变更设计方案、降低建设标准，或者经核算实际完成项目总投资低于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万元、擅自停工、中途撤场的，甲方有权书面通知乙方限期整改。逾期未完成整改，甲方有权：①兑付银行履约保函；②单方解除本合同、收回物业；③</w:t>
      </w:r>
      <w:commentRangeStart w:id="5"/>
      <w:r>
        <w:rPr>
          <w:rFonts w:hint="eastAsia" w:ascii="仿宋" w:hAnsi="仿宋" w:eastAsia="仿宋" w:cs="仿宋"/>
          <w:sz w:val="32"/>
          <w:szCs w:val="32"/>
          <w:lang w:val="en-US" w:eastAsia="zh-CN"/>
        </w:rPr>
        <w:t>没收</w:t>
      </w:r>
      <w:r>
        <w:rPr>
          <w:rFonts w:hint="eastAsia" w:ascii="仿宋" w:hAnsi="仿宋" w:eastAsia="仿宋" w:cs="仿宋"/>
          <w:sz w:val="32"/>
          <w:szCs w:val="32"/>
        </w:rPr>
        <w:t>履约保证金</w:t>
      </w:r>
      <w:commentRangeEnd w:id="5"/>
      <w:r>
        <w:rPr>
          <w:rFonts w:hint="eastAsia" w:ascii="仿宋" w:hAnsi="仿宋" w:eastAsia="仿宋" w:cs="仿宋"/>
          <w:sz w:val="32"/>
          <w:szCs w:val="32"/>
        </w:rPr>
        <w:commentReference w:id="5"/>
      </w:r>
      <w:r>
        <w:rPr>
          <w:rFonts w:hint="eastAsia" w:ascii="仿宋" w:hAnsi="仿宋" w:eastAsia="仿宋" w:cs="仿宋"/>
          <w:sz w:val="32"/>
          <w:szCs w:val="32"/>
        </w:rPr>
        <w:t>；④已形成附合装修改造资产无偿归甲方所有。</w:t>
      </w:r>
    </w:p>
    <w:p w14:paraId="0C39B3F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11.3 乙方逾期支付租金，每逾期一日，按当期应付租金金额万分之五向甲方支付迟延违约金；乙方迟延支付租金累计超过30日，经甲方书面催告后仍不缴纳租金的，甲方可以单方解除合同，收回租赁标的物，并追索全部欠缴租金、违约金</w:t>
      </w:r>
      <w:commentRangeStart w:id="6"/>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没收</w:t>
      </w:r>
      <w:r>
        <w:rPr>
          <w:rFonts w:hint="eastAsia" w:ascii="仿宋" w:hAnsi="仿宋" w:eastAsia="仿宋" w:cs="仿宋"/>
          <w:sz w:val="32"/>
          <w:szCs w:val="32"/>
        </w:rPr>
        <w:t>履约保证金。</w:t>
      </w:r>
      <w:commentRangeEnd w:id="6"/>
      <w:r>
        <w:rPr>
          <w:rFonts w:hint="eastAsia" w:ascii="仿宋" w:hAnsi="仿宋" w:eastAsia="仿宋" w:cs="仿宋"/>
          <w:sz w:val="32"/>
          <w:szCs w:val="32"/>
        </w:rPr>
        <w:commentReference w:id="6"/>
      </w:r>
    </w:p>
    <w:p w14:paraId="2CE3E21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11.4 乙方擅自整体转租、转包或以合作、入股、转借等名义将全部物业转交第三方经营的，甲方有权单方解除合同，收回租赁物业，</w:t>
      </w:r>
      <w:commentRangeStart w:id="7"/>
      <w:r>
        <w:rPr>
          <w:rFonts w:hint="eastAsia" w:ascii="仿宋" w:hAnsi="仿宋" w:eastAsia="仿宋" w:cs="仿宋"/>
          <w:sz w:val="32"/>
          <w:szCs w:val="32"/>
          <w:lang w:val="en-US" w:eastAsia="zh-CN"/>
        </w:rPr>
        <w:t>没收履约保证金，造成甲方损失的另行赔偿。</w:t>
      </w:r>
      <w:commentRangeEnd w:id="7"/>
      <w:r>
        <w:rPr>
          <w:rFonts w:hint="eastAsia" w:ascii="仿宋" w:hAnsi="仿宋" w:eastAsia="仿宋" w:cs="仿宋"/>
          <w:sz w:val="32"/>
          <w:szCs w:val="32"/>
        </w:rPr>
        <w:commentReference w:id="7"/>
      </w:r>
    </w:p>
    <w:p w14:paraId="360E47C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11.5 乙方出现资金链断裂、进入破产、清算程序，明显丧失履约能力，造成项目无法继续实施的，甲方可单方解除合同，接管项目物业，并有权追索乙方欠付全部款项。</w:t>
      </w:r>
    </w:p>
    <w:p w14:paraId="66B407A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11.6 甲方应依约交付租赁标的，如遇不可抗力或政府重大政策调整等因素，致使甲方无法继续履行本合同时，本合同终止。乙方应在接到甲方通知后10日内自行搬出，甲方除将乙方交付的履约保证金无息退回（前提是乙方在合同期间没有违反合同约定）外，不承担任何责任及赔偿。</w:t>
      </w:r>
    </w:p>
    <w:p w14:paraId="05706FC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11.7 因甲方原因未按约定交付物业，每逾期一日，按照当年租金万分之一向乙方支付违约金。</w:t>
      </w:r>
    </w:p>
    <w:p w14:paraId="763784B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11.8 一方违约给对方造成的损失包括但不限于诉讼费、保全费、律师费、鉴定费、评估费、差旅费等维权合理开支。</w:t>
      </w:r>
    </w:p>
    <w:p w14:paraId="3AD0EFB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第十二条 不可抗力</w:t>
      </w:r>
    </w:p>
    <w:p w14:paraId="1B9ADE5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12.1 地震、台风、洪水等自然灾害，战争、政府征收征用等不能预见、不能避免、不能克服情形属于不可抗力。遭受不可抗力一方，应在事件发生后10个工作日内书面通知对方，并提供相关证明文件。</w:t>
      </w:r>
    </w:p>
    <w:p w14:paraId="7B38DF0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12.2 因不可抗力导致合同目的完全无法实现的，双方可协商解除合同，互不承担违约责任，按照现状处理资产。</w:t>
      </w:r>
    </w:p>
    <w:p w14:paraId="56AF519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第十三条 通知与送达</w:t>
      </w:r>
    </w:p>
    <w:p w14:paraId="094A9C5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13.1 本合同项下所有通知、函件均采取书面形式，按本合同首页列明地址、联系人、电话送达。邮寄送达的，邮件寄出后3个自然日视为送达。</w:t>
      </w:r>
    </w:p>
    <w:p w14:paraId="15B2A14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13.2 任何一方变更送达地址、联系人，应当提前5个工作日书面告知另一方；未履行告知义务的，向原地址邮寄文书视为有效送达。</w:t>
      </w:r>
    </w:p>
    <w:p w14:paraId="0CA06FF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第十四条 争议解决</w:t>
      </w:r>
    </w:p>
    <w:p w14:paraId="60446E7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14.1 因本合同引起或与本合同有关的一切争议，双方优先友好协商解决；协商不成的，任何一方均有权向珠海市斗门区人民法院提起诉讼。</w:t>
      </w:r>
    </w:p>
    <w:p w14:paraId="6F81D70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第十五条 其他约定</w:t>
      </w:r>
    </w:p>
    <w:p w14:paraId="4C17E73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15.1 本合同订立及履行过程中所产生的印花税、公证费用和政府收取的其他一切费用，由甲乙双方各自依法承担。</w:t>
      </w:r>
    </w:p>
    <w:p w14:paraId="065EDEE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15.2 本合同未尽事宜，双方可以签署书面补充协议，补充协议与本合同具有同等法律效力。</w:t>
      </w:r>
    </w:p>
    <w:p w14:paraId="61179E5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15.3 本合同附件为本合同不可分割组成部分：</w:t>
      </w:r>
    </w:p>
    <w:p w14:paraId="4514FD4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附件一：《项目投资预算书》</w:t>
      </w:r>
    </w:p>
    <w:p w14:paraId="6C7F542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附件二：《项目设计方案》</w:t>
      </w:r>
    </w:p>
    <w:p w14:paraId="2A186E2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附件三：《物业交接清单》</w:t>
      </w:r>
    </w:p>
    <w:p w14:paraId="7702B90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15.4 本合同一式叁份，甲方执壹份，乙方执壹份，送区国有资产租赁中心备案壹份，每份均具同等法律效力。</w:t>
      </w:r>
    </w:p>
    <w:p w14:paraId="1541DE55">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（以下无正文）</w:t>
      </w:r>
    </w:p>
    <w:p w14:paraId="0FD64F6D">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31C2E8B3">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4A74CB86">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77C5D446">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166C87A6">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76AB8E6C">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甲方（盖章）：珠海市斗门品源生鲜食品有限公司</w:t>
      </w:r>
    </w:p>
    <w:p w14:paraId="0087C228">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641B29E8">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法定代表人/授权代表签字：________________</w:t>
      </w:r>
    </w:p>
    <w:p w14:paraId="01E2732A">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6D1ACED7">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日期：____年____月____日</w:t>
      </w:r>
    </w:p>
    <w:p w14:paraId="0FAF677F">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3EE4BA61">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12230240">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048D3FCB">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785377CD">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乙方（盖章）：________________</w:t>
      </w:r>
    </w:p>
    <w:p w14:paraId="3F969FC9">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04FD66A5">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r>
        <w:rPr>
          <w:rFonts w:hint="eastAsia" w:ascii="仿宋" w:hAnsi="仿宋" w:eastAsia="仿宋" w:cs="仿宋"/>
          <w:sz w:val="32"/>
          <w:szCs w:val="32"/>
        </w:rPr>
        <w:t>法定代表人/授权代表签字：________________</w:t>
      </w:r>
    </w:p>
    <w:p w14:paraId="06F120EB">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 w:hAnsi="仿宋" w:eastAsia="仿宋" w:cs="仿宋"/>
          <w:sz w:val="32"/>
          <w:szCs w:val="32"/>
        </w:rPr>
      </w:pPr>
    </w:p>
    <w:p w14:paraId="71548269">
      <w:pPr>
        <w:keepNext w:val="0"/>
        <w:keepLines w:val="0"/>
        <w:pageBreakBefore w:val="0"/>
        <w:widowControl w:val="0"/>
        <w:kinsoku/>
        <w:wordWrap/>
        <w:overflowPunct/>
        <w:topLinePunct w:val="0"/>
        <w:autoSpaceDE/>
        <w:autoSpaceDN/>
        <w:bidi w:val="0"/>
        <w:adjustRightInd/>
        <w:snapToGrid/>
        <w:spacing w:line="570" w:lineRule="exact"/>
        <w:textAlignment w:val="auto"/>
      </w:pPr>
      <w:r>
        <w:rPr>
          <w:rFonts w:hint="eastAsia" w:ascii="仿宋" w:hAnsi="仿宋" w:eastAsia="仿宋" w:cs="仿宋"/>
          <w:sz w:val="32"/>
          <w:szCs w:val="32"/>
        </w:rPr>
        <w:t>日期：____年____月____日</w:t>
      </w: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提示" w:date="2026-09-17T10:51:13Z" w:initials="i">
    <w:p w14:paraId="557BD845">
      <w:pPr>
        <w:pStyle w:val="2"/>
        <w:rPr>
          <w:rFonts w:hint="default" w:eastAsiaTheme="minorEastAsia"/>
          <w:lang w:val="en-US" w:eastAsia="zh-CN"/>
        </w:rPr>
      </w:pPr>
      <w:r>
        <w:rPr>
          <w:rFonts w:hint="eastAsia"/>
          <w:lang w:val="en-US" w:eastAsia="zh-CN"/>
        </w:rPr>
        <w:t>删除内容</w:t>
      </w:r>
    </w:p>
  </w:comment>
  <w:comment w:id="1" w:author="提示" w:date="2026-09-17T10:51:01Z" w:initials="i">
    <w:p w14:paraId="7FAE652E">
      <w:pPr>
        <w:pStyle w:val="2"/>
        <w:rPr>
          <w:rFonts w:hint="default" w:eastAsiaTheme="minorEastAsia"/>
          <w:lang w:val="en-US" w:eastAsia="zh-CN"/>
        </w:rPr>
      </w:pPr>
      <w:r>
        <w:rPr>
          <w:rFonts w:hint="eastAsia"/>
          <w:lang w:val="en-US" w:eastAsia="zh-CN"/>
        </w:rPr>
        <w:t>增加内容</w:t>
      </w:r>
    </w:p>
  </w:comment>
  <w:comment w:id="2" w:author="提示" w:date="2026-09-17T10:45:35Z" w:initials="i">
    <w:p w14:paraId="4839FDB2">
      <w:pPr>
        <w:pStyle w:val="2"/>
        <w:rPr>
          <w:rFonts w:hint="eastAsia" w:eastAsiaTheme="minorEastAsia"/>
          <w:lang w:val="en-US" w:eastAsia="zh-CN"/>
        </w:rPr>
      </w:pPr>
      <w:r>
        <w:rPr>
          <w:rFonts w:hint="eastAsia"/>
          <w:lang w:val="en-US" w:eastAsia="zh-CN"/>
        </w:rPr>
        <w:t>删除</w:t>
      </w:r>
    </w:p>
  </w:comment>
  <w:comment w:id="3" w:author="提示" w:date="2026-09-17T10:45:26Z" w:initials="i">
    <w:p w14:paraId="01766C6C">
      <w:pPr>
        <w:pStyle w:val="2"/>
        <w:rPr>
          <w:rFonts w:hint="default" w:eastAsiaTheme="minorEastAsia"/>
          <w:lang w:val="en-US" w:eastAsia="zh-CN"/>
        </w:rPr>
      </w:pPr>
      <w:r>
        <w:rPr>
          <w:rFonts w:hint="eastAsia"/>
          <w:lang w:val="en-US" w:eastAsia="zh-CN"/>
        </w:rPr>
        <w:t>增加内容</w:t>
      </w:r>
    </w:p>
  </w:comment>
  <w:comment w:id="4" w:author="提示" w:date="2026-09-17T10:46:59Z" w:initials="i">
    <w:p w14:paraId="5CDCCDA6">
      <w:pPr>
        <w:pStyle w:val="2"/>
        <w:rPr>
          <w:rFonts w:hint="default" w:eastAsiaTheme="minorEastAsia"/>
          <w:lang w:val="en-US" w:eastAsia="zh-CN"/>
        </w:rPr>
      </w:pPr>
      <w:r>
        <w:rPr>
          <w:rFonts w:hint="eastAsia"/>
          <w:lang w:val="en-US" w:eastAsia="zh-CN"/>
        </w:rPr>
        <w:t>增加内容</w:t>
      </w:r>
    </w:p>
  </w:comment>
  <w:comment w:id="5" w:author="提示" w:date="2026-09-17T10:48:29Z" w:initials="i">
    <w:p w14:paraId="3C22BC8B">
      <w:pPr>
        <w:pStyle w:val="2"/>
        <w:rPr>
          <w:rFonts w:hint="default" w:eastAsiaTheme="minorEastAsia"/>
          <w:lang w:val="en-US" w:eastAsia="zh-CN"/>
        </w:rPr>
      </w:pPr>
      <w:r>
        <w:rPr>
          <w:rFonts w:hint="eastAsia"/>
          <w:lang w:val="en-US" w:eastAsia="zh-CN"/>
        </w:rPr>
        <w:t>修改内容</w:t>
      </w:r>
    </w:p>
  </w:comment>
  <w:comment w:id="6" w:author="提示" w:date="2026-09-17T10:53:29Z" w:initials="i">
    <w:p w14:paraId="6AAD91C9">
      <w:pPr>
        <w:pStyle w:val="2"/>
        <w:rPr>
          <w:rFonts w:hint="default" w:eastAsiaTheme="minorEastAsia"/>
          <w:lang w:val="en-US" w:eastAsia="zh-CN"/>
        </w:rPr>
      </w:pPr>
      <w:r>
        <w:rPr>
          <w:rFonts w:hint="eastAsia"/>
          <w:lang w:val="en-US" w:eastAsia="zh-CN"/>
        </w:rPr>
        <w:t>增加内容</w:t>
      </w:r>
    </w:p>
  </w:comment>
  <w:comment w:id="7" w:author="提示" w:date="2026-09-17T10:54:33Z" w:initials="i">
    <w:p w14:paraId="293BB1A2">
      <w:pPr>
        <w:pStyle w:val="2"/>
        <w:rPr>
          <w:rFonts w:hint="default" w:eastAsiaTheme="minorEastAsia"/>
          <w:lang w:val="en-US" w:eastAsia="zh-CN"/>
        </w:rPr>
      </w:pPr>
      <w:r>
        <w:rPr>
          <w:rFonts w:hint="eastAsia"/>
          <w:lang w:val="en-US" w:eastAsia="zh-CN"/>
        </w:rPr>
        <w:t>修改内容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57BD845" w15:done="0"/>
  <w15:commentEx w15:paraId="7FAE652E" w15:done="0"/>
  <w15:commentEx w15:paraId="4839FDB2" w15:done="0"/>
  <w15:commentEx w15:paraId="01766C6C" w15:done="0"/>
  <w15:commentEx w15:paraId="5CDCCDA6" w15:done="0"/>
  <w15:commentEx w15:paraId="3C22BC8B" w15:done="0"/>
  <w15:commentEx w15:paraId="6AAD91C9" w15:done="0"/>
  <w15:commentEx w15:paraId="293BB1A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D213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DF819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DF819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CAEBE">
    <w:pPr>
      <w:pStyle w:val="4"/>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提示">
    <w15:presenceInfo w15:providerId="None" w15:userId="提示"/>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802800"/>
    <w:rsid w:val="07B83D84"/>
    <w:rsid w:val="07F93EC7"/>
    <w:rsid w:val="16667B01"/>
    <w:rsid w:val="1B136FD2"/>
    <w:rsid w:val="25802800"/>
    <w:rsid w:val="3C2952FE"/>
    <w:rsid w:val="3F267648"/>
    <w:rsid w:val="4E5A520B"/>
    <w:rsid w:val="503B456B"/>
    <w:rsid w:val="51FC0CFE"/>
    <w:rsid w:val="520D2CD1"/>
    <w:rsid w:val="63441B7F"/>
    <w:rsid w:val="704600CC"/>
    <w:rsid w:val="72816F46"/>
    <w:rsid w:val="7B8144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1032</Words>
  <Characters>1243</Characters>
  <Lines>0</Lines>
  <Paragraphs>0</Paragraphs>
  <TotalTime>12</TotalTime>
  <ScaleCrop>false</ScaleCrop>
  <LinksUpToDate>false</LinksUpToDate>
  <CharactersWithSpaces>1252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2026-09-08T14:10:00Z</dcterms:created>
  <dc:creator>yangyuan</dc:creator>
  <cp:lastModifiedBy>ada</cp:lastModifiedBy>
  <cp:lastPrinted>2026-09-09T00:57:00Z</cp:lastPrinted>
  <dcterms:modified xsi:type="dcterms:W3CDTF">2026-09-17T08:28:39Z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C3E5120E66A2405FA10E760DE993A88E_13</vt:lpwstr>
  </property>
  <property fmtid="{D5CDD505-2E9C-101B-9397-08002B2CF9AE}" pid="4" name="KSOTemplateDocerSaveRecord">
    <vt:lpwstr>eyJoZGlkIjoiNDQ5NDllMmUxZjQ3MmVjZjA4OWM0ZDY5MmQ1OTE0M2YiLCJ1c2VySWQiOiIzNjg5MTA1OTYifQ==</vt:lpwstr>
  </property>
</Properties>
</file>